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12" w:before="0" w:after="0"/>
        <w:contextualSpacing/>
        <w:jc w:val="center"/>
        <w:rPr>
          <w:b/>
          <w:b/>
          <w:color w:val="17365D" w:themeColor="text2" w:themeShade="bf"/>
          <w:sz w:val="21"/>
          <w:szCs w:val="21"/>
        </w:rPr>
      </w:pPr>
      <w:r>
        <w:rPr>
          <w:b/>
          <w:color w:val="17365D" w:themeColor="text2" w:themeShade="bf"/>
          <w:sz w:val="21"/>
          <w:szCs w:val="21"/>
        </w:rPr>
        <w:t>МИНИСТЕРСТВО ТРАНСПОРТА РОССИЙСКОЙ ФЕДЕРАЦИИ</w:t>
      </w:r>
    </w:p>
    <w:p>
      <w:pPr>
        <w:pStyle w:val="Normal"/>
        <w:spacing w:lineRule="auto" w:line="312" w:before="0" w:after="0"/>
        <w:contextualSpacing/>
        <w:jc w:val="center"/>
        <w:rPr>
          <w:b/>
          <w:b/>
          <w:color w:val="17365D" w:themeColor="text2" w:themeShade="bf"/>
          <w:sz w:val="21"/>
          <w:szCs w:val="21"/>
        </w:rPr>
      </w:pPr>
      <w:r>
        <w:rPr>
          <w:b/>
          <w:color w:val="17365D" w:themeColor="text2" w:themeShade="bf"/>
          <w:sz w:val="21"/>
          <w:szCs w:val="21"/>
        </w:rPr>
        <w:t>ФЕДЕРАЛЬНОЕ АГЕНТСТВО ЖЕЛЕЗНОДОРОЖНОГО ТРАНСПОРТА</w:t>
      </w:r>
    </w:p>
    <w:p>
      <w:pPr>
        <w:pStyle w:val="Normal"/>
        <w:spacing w:lineRule="auto" w:line="312" w:before="0" w:after="0"/>
        <w:contextualSpacing/>
        <w:jc w:val="center"/>
        <w:rPr>
          <w:b/>
          <w:b/>
          <w:color w:val="17365D" w:themeColor="text2" w:themeShade="bf"/>
          <w:sz w:val="21"/>
          <w:szCs w:val="21"/>
        </w:rPr>
      </w:pPr>
      <w:r>
        <w:rPr>
          <w:b/>
          <w:color w:val="17365D" w:themeColor="text2" w:themeShade="bf"/>
          <w:sz w:val="21"/>
          <w:szCs w:val="21"/>
        </w:rPr>
        <w:t>ОТДЕЛЕНИЕ ЭНЕРГЕТИКИ, МАШИНОСТРОЕНИЯ, МЕХАНИКИ И ПРОЦЕССОВ УПРАВЛЕНИЯ РАН</w:t>
      </w:r>
    </w:p>
    <w:p>
      <w:pPr>
        <w:pStyle w:val="Normal"/>
        <w:spacing w:lineRule="auto" w:line="312" w:before="0" w:after="0"/>
        <w:contextualSpacing/>
        <w:jc w:val="center"/>
        <w:rPr>
          <w:b/>
          <w:b/>
          <w:color w:val="17365D" w:themeColor="text2" w:themeShade="bf"/>
          <w:sz w:val="21"/>
          <w:szCs w:val="21"/>
        </w:rPr>
      </w:pPr>
      <w:r>
        <w:rPr>
          <w:b/>
          <w:color w:val="17365D" w:themeColor="text2" w:themeShade="bf"/>
          <w:sz w:val="21"/>
          <w:szCs w:val="21"/>
        </w:rPr>
        <w:t>ЮЖНЫЙ НАУЧНЫЙ ЦЕНТР РАН</w:t>
      </w:r>
    </w:p>
    <w:p>
      <w:pPr>
        <w:pStyle w:val="Normal"/>
        <w:spacing w:lineRule="auto" w:line="312" w:before="0" w:after="0"/>
        <w:contextualSpacing/>
        <w:jc w:val="center"/>
        <w:rPr>
          <w:b/>
          <w:b/>
          <w:color w:val="17365D" w:themeColor="text2" w:themeShade="bf"/>
          <w:sz w:val="21"/>
          <w:szCs w:val="21"/>
        </w:rPr>
      </w:pPr>
      <w:r>
        <w:rPr>
          <w:b/>
          <w:color w:val="17365D" w:themeColor="text2" w:themeShade="bf"/>
          <w:sz w:val="21"/>
          <w:szCs w:val="21"/>
        </w:rPr>
        <w:t>СОВЕТ РАН ПО ИННОВАЦИОННЫМ ПРОБЛЕМАМ ТРАНСПОРТА И ЛОГИСТИКИ</w:t>
      </w:r>
    </w:p>
    <w:p>
      <w:pPr>
        <w:pStyle w:val="Normal"/>
        <w:spacing w:lineRule="auto" w:line="312" w:before="0" w:after="0"/>
        <w:contextualSpacing/>
        <w:jc w:val="center"/>
        <w:rPr>
          <w:b/>
          <w:b/>
          <w:color w:val="17365D" w:themeColor="text2" w:themeShade="bf"/>
          <w:sz w:val="21"/>
          <w:szCs w:val="21"/>
        </w:rPr>
      </w:pPr>
      <w:r>
        <w:rPr>
          <w:b/>
          <w:color w:val="17365D" w:themeColor="text2" w:themeShade="bf"/>
          <w:sz w:val="21"/>
          <w:szCs w:val="21"/>
        </w:rPr>
        <w:t>ФГБОУ ВО «РОСТОВСКИЙ ГОСУДАРСТВЕННЫЙУНИВЕРСИТЕТ ПУТЕЙ СООБЩЕНИЯ»</w:t>
      </w:r>
    </w:p>
    <w:p>
      <w:pPr>
        <w:pStyle w:val="Normal"/>
        <w:spacing w:lineRule="auto" w:line="312" w:before="0" w:after="0"/>
        <w:contextualSpacing/>
        <w:jc w:val="center"/>
        <w:rPr>
          <w:b/>
          <w:b/>
          <w:color w:val="17365D" w:themeColor="text2" w:themeShade="bf"/>
          <w:sz w:val="21"/>
          <w:szCs w:val="21"/>
        </w:rPr>
      </w:pPr>
      <w:r>
        <w:rPr>
          <w:b/>
          <w:color w:val="17365D" w:themeColor="text2" w:themeShade="bf"/>
          <w:sz w:val="21"/>
          <w:szCs w:val="21"/>
        </w:rPr>
        <w:t>РОССИЙСКАЯ АКАДЕМИЯ ТРАНСПОРТА</w:t>
      </w:r>
    </w:p>
    <w:p>
      <w:pPr>
        <w:pStyle w:val="Normal"/>
        <w:spacing w:lineRule="auto" w:line="312" w:before="0" w:after="0"/>
        <w:contextualSpacing/>
        <w:jc w:val="center"/>
        <w:rPr>
          <w:b/>
          <w:b/>
          <w:color w:val="17365D" w:themeColor="text2" w:themeShade="bf"/>
          <w:sz w:val="21"/>
          <w:szCs w:val="21"/>
        </w:rPr>
      </w:pPr>
      <w:r>
        <w:rPr>
          <w:b/>
          <w:color w:val="17365D" w:themeColor="text2" w:themeShade="bf"/>
          <w:sz w:val="21"/>
          <w:szCs w:val="21"/>
        </w:rPr>
        <w:t>АССОЦИАЦИЯ ТЕХНИЧЕСКИХ УНИВЕРСИТЕТОВ</w:t>
      </w:r>
    </w:p>
    <w:p>
      <w:pPr>
        <w:pStyle w:val="Normal"/>
        <w:spacing w:lineRule="auto" w:line="312" w:before="0" w:after="0"/>
        <w:contextualSpacing/>
        <w:jc w:val="center"/>
        <w:rPr>
          <w:b/>
          <w:b/>
          <w:color w:val="17365D" w:themeColor="text2" w:themeShade="bf"/>
          <w:sz w:val="21"/>
          <w:szCs w:val="21"/>
        </w:rPr>
      </w:pPr>
      <w:r>
        <w:rPr>
          <w:b/>
          <w:color w:val="17365D" w:themeColor="text2" w:themeShade="bf"/>
          <w:sz w:val="21"/>
          <w:szCs w:val="21"/>
        </w:rPr>
        <w:t>КООРДИНАЦИОННОЕ ТРАНСПОРТНОЕ СОВЕЩАНИЕ ГОСУДАРСТВ-УЧАСТНИКОВ СОДРУЖЕСТВА НЕЗАВИСИМЫХ ГОСУДАРСТВ</w:t>
      </w:r>
    </w:p>
    <w:p>
      <w:pPr>
        <w:pStyle w:val="Normal"/>
        <w:spacing w:lineRule="auto" w:line="312" w:before="0" w:after="0"/>
        <w:contextualSpacing/>
        <w:jc w:val="center"/>
        <w:rPr>
          <w:b/>
          <w:b/>
          <w:color w:val="17365D" w:themeColor="text2" w:themeShade="bf"/>
          <w:sz w:val="21"/>
          <w:szCs w:val="21"/>
        </w:rPr>
      </w:pPr>
      <w:r>
        <w:rPr>
          <w:b/>
          <w:color w:val="17365D" w:themeColor="text2" w:themeShade="bf"/>
          <w:sz w:val="21"/>
          <w:szCs w:val="21"/>
        </w:rPr>
        <w:t>КОНСОРЦИУМ ВЫСШИХ УЧЕБНЫХ ЗАВЕДЕНИЙ ПРИКАСПИЙСКОГО РЕГИОНА В ТРАНСПОРТНО-ЛОГИСТИЧЕСКОЙ СФЕРЕ</w:t>
      </w:r>
    </w:p>
    <w:p>
      <w:pPr>
        <w:pStyle w:val="Style14"/>
        <w:spacing w:before="0" w:after="60"/>
        <w:ind w:left="187" w:right="210" w:hanging="0"/>
        <w:jc w:val="center"/>
        <w:rPr>
          <w:color w:val="17365D" w:themeColor="text2" w:themeShade="bf"/>
          <w:sz w:val="21"/>
          <w:szCs w:val="21"/>
        </w:rPr>
      </w:pPr>
      <w:r>
        <w:rPr>
          <w:color w:val="17365D" w:themeColor="text2" w:themeShade="bf"/>
          <w:sz w:val="21"/>
          <w:szCs w:val="21"/>
        </w:rPr>
      </w:r>
    </w:p>
    <w:p>
      <w:pPr>
        <w:pStyle w:val="Style14"/>
        <w:spacing w:before="0" w:after="0"/>
        <w:ind w:right="210" w:hanging="0"/>
        <w:jc w:val="center"/>
        <w:rPr/>
      </w:pPr>
      <w:bookmarkStart w:id="0" w:name="_1169469840"/>
      <w:bookmarkStart w:id="1" w:name="_1294220328"/>
      <w:bookmarkStart w:id="2" w:name="_1294220386"/>
      <w:bookmarkStart w:id="3" w:name="_1294220471"/>
      <w:bookmarkStart w:id="4" w:name="_1294220558"/>
      <w:bookmarkStart w:id="5" w:name="_1294220609"/>
      <w:bookmarkEnd w:id="0"/>
      <w:bookmarkEnd w:id="1"/>
      <w:bookmarkEnd w:id="2"/>
      <w:bookmarkEnd w:id="3"/>
      <w:bookmarkEnd w:id="4"/>
      <w:bookmarkEnd w:id="5"/>
      <w:r>
        <w:rPr/>
        <w:drawing>
          <wp:inline distT="0" distB="0" distL="0" distR="0">
            <wp:extent cx="2004695" cy="184975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9492" t="17801" r="37656" b="8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4"/>
        <w:spacing w:before="0" w:after="0"/>
        <w:ind w:left="187" w:right="210" w:hanging="0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shd w:val="clear" w:color="auto" w:fill="FFFFFF"/>
        <w:jc w:val="center"/>
        <w:rPr>
          <w:b/>
          <w:b/>
          <w:bCs/>
          <w:color w:val="17365D" w:themeColor="text2" w:themeShade="bf"/>
          <w:sz w:val="28"/>
          <w:szCs w:val="28"/>
          <w:shd w:fill="FFFFFF" w:val="clear"/>
        </w:rPr>
      </w:pPr>
      <w:bookmarkStart w:id="6" w:name="_GoBack"/>
      <w:r>
        <w:rPr>
          <w:b/>
          <w:bCs/>
          <w:color w:val="17365D" w:themeColor="text2" w:themeShade="bf"/>
          <w:sz w:val="28"/>
          <w:szCs w:val="28"/>
          <w:shd w:fill="FFFFFF" w:val="clear"/>
        </w:rPr>
        <w:t>Десятая международная научно-практическая конференция</w:t>
      </w:r>
    </w:p>
    <w:p>
      <w:pPr>
        <w:pStyle w:val="Normal"/>
        <w:shd w:val="clear" w:color="auto" w:fill="FFFFFF"/>
        <w:jc w:val="center"/>
        <w:rPr>
          <w:b/>
          <w:b/>
          <w:bCs/>
          <w:color w:val="17365D" w:themeColor="text2" w:themeShade="bf"/>
          <w:sz w:val="28"/>
          <w:szCs w:val="28"/>
          <w:shd w:fill="FFFFFF" w:val="clear"/>
        </w:rPr>
      </w:pPr>
      <w:bookmarkStart w:id="7" w:name="_GoBack"/>
      <w:r>
        <w:rPr>
          <w:b/>
          <w:bCs/>
          <w:color w:val="17365D" w:themeColor="text2" w:themeShade="bf"/>
          <w:sz w:val="28"/>
          <w:szCs w:val="28"/>
          <w:shd w:fill="FFFFFF" w:val="clear"/>
        </w:rPr>
        <w:t>«ТРАНСПОРТ И ЛОГИСТИКА: стратегии, современные технологии и решения в условиях адаптации к глобальным вызовам»</w:t>
      </w:r>
      <w:bookmarkEnd w:id="7"/>
    </w:p>
    <w:p>
      <w:pPr>
        <w:pStyle w:val="Normal"/>
        <w:shd w:val="clear" w:color="auto" w:fill="FFFFFF"/>
        <w:jc w:val="center"/>
        <w:rPr>
          <w:b/>
          <w:b/>
          <w:bCs/>
          <w:shd w:fill="FFFFFF" w:val="clear"/>
        </w:rPr>
      </w:pPr>
      <w:r>
        <w:rPr>
          <w:b/>
          <w:bCs/>
          <w:shd w:fill="FFFFFF" w:val="clear"/>
        </w:rPr>
      </w:r>
    </w:p>
    <w:p>
      <w:pPr>
        <w:pStyle w:val="Normal"/>
        <w:shd w:val="clear" w:color="auto" w:fill="FFFFFF"/>
        <w:jc w:val="center"/>
        <w:rPr>
          <w:b/>
          <w:b/>
          <w:bCs/>
          <w:sz w:val="28"/>
          <w:szCs w:val="28"/>
          <w:shd w:fill="FFFFFF" w:val="clear"/>
        </w:rPr>
      </w:pPr>
      <w:r>
        <w:rPr/>
        <w:drawing>
          <wp:inline distT="0" distB="0" distL="0" distR="0">
            <wp:extent cx="2482850" cy="2066925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jc w:val="center"/>
        <w:rPr>
          <w:b/>
          <w:b/>
          <w:bCs/>
          <w:color w:val="FF0000"/>
          <w:shd w:fill="FFFFFF" w:val="clear"/>
        </w:rPr>
      </w:pPr>
      <w:r>
        <w:rPr>
          <w:b/>
          <w:bCs/>
          <w:color w:val="FF0000"/>
          <w:shd w:fill="FFFFFF" w:val="clear"/>
        </w:rPr>
      </w:r>
    </w:p>
    <w:p>
      <w:pPr>
        <w:pStyle w:val="Normal"/>
        <w:shd w:val="clear" w:color="auto" w:fill="FFFFFF"/>
        <w:jc w:val="center"/>
        <w:rPr>
          <w:b/>
          <w:b/>
          <w:bCs/>
          <w:color w:val="17365D" w:themeColor="text2" w:themeShade="bf"/>
          <w:sz w:val="28"/>
          <w:szCs w:val="28"/>
          <w:shd w:fill="FFFFFF" w:val="clear"/>
        </w:rPr>
      </w:pPr>
      <w:r>
        <w:rPr>
          <w:b/>
          <w:bCs/>
          <w:color w:val="17365D" w:themeColor="text2" w:themeShade="bf"/>
          <w:sz w:val="28"/>
          <w:szCs w:val="28"/>
          <w:shd w:fill="FFFFFF" w:val="clear"/>
        </w:rPr>
        <w:t>5–6 февраля 2026 г.</w:t>
      </w:r>
    </w:p>
    <w:p>
      <w:pPr>
        <w:pStyle w:val="Normal"/>
        <w:shd w:val="clear" w:color="auto" w:fill="FFFFFF"/>
        <w:jc w:val="center"/>
        <w:rPr>
          <w:b/>
          <w:b/>
          <w:bCs/>
          <w:color w:val="17365D" w:themeColor="text2" w:themeShade="bf"/>
          <w:sz w:val="28"/>
          <w:szCs w:val="28"/>
          <w:shd w:fill="FFFFFF" w:val="clear"/>
        </w:rPr>
      </w:pPr>
      <w:r>
        <w:rPr>
          <w:b/>
          <w:bCs/>
          <w:color w:val="17365D" w:themeColor="text2" w:themeShade="bf"/>
          <w:sz w:val="28"/>
          <w:szCs w:val="28"/>
          <w:shd w:fill="FFFFFF" w:val="clear"/>
        </w:rPr>
        <w:t>г. Ростов-на-Дону</w:t>
      </w:r>
    </w:p>
    <w:p>
      <w:pPr>
        <w:pStyle w:val="Normal"/>
        <w:shd w:val="clear" w:color="auto" w:fill="FFFFFF"/>
        <w:jc w:val="center"/>
        <w:rPr>
          <w:b/>
          <w:b/>
          <w:bCs/>
          <w:color w:val="17365D" w:themeColor="text2" w:themeShade="bf"/>
          <w:sz w:val="28"/>
          <w:szCs w:val="28"/>
          <w:shd w:fill="FFFFFF" w:val="clear"/>
        </w:rPr>
      </w:pPr>
      <w:r>
        <w:rPr>
          <w:b/>
          <w:bCs/>
          <w:color w:val="17365D" w:themeColor="text2" w:themeShade="bf"/>
          <w:sz w:val="28"/>
          <w:szCs w:val="28"/>
          <w:shd w:fill="FFFFFF" w:val="clear"/>
        </w:rPr>
        <w:t>Россия</w:t>
      </w:r>
    </w:p>
    <w:p>
      <w:pPr>
        <w:pStyle w:val="Normal"/>
        <w:rPr>
          <w:b/>
          <w:b/>
          <w:bCs/>
          <w:shd w:fill="FFFFFF" w:val="clear"/>
        </w:rPr>
      </w:pPr>
      <w:r>
        <w:rPr>
          <w:b/>
          <w:bCs/>
          <w:shd w:fill="FFFFFF" w:val="clear"/>
        </w:rPr>
      </w:r>
      <w:r>
        <w:br w:type="page"/>
      </w:r>
    </w:p>
    <w:p>
      <w:pPr>
        <w:pStyle w:val="Normal"/>
        <w:spacing w:before="0" w:after="0"/>
        <w:ind w:right="303" w:hanging="0"/>
        <w:rPr/>
      </w:pPr>
      <w:r>
        <w:rPr>
          <w:b/>
        </w:rPr>
        <w:t xml:space="preserve">Заявка </w:t>
      </w:r>
      <w:r>
        <w:rPr/>
        <w:t>на участие в работе конференции оформляется по форме в «Бланк заявки».</w:t>
      </w:r>
    </w:p>
    <w:p>
      <w:pPr>
        <w:pStyle w:val="211"/>
        <w:spacing w:before="0" w:after="0"/>
        <w:ind w:hanging="0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Заявку на участие в конференции и текст доклада просим направить на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hyperlink r:id="rId4">
        <w:r>
          <w:rPr>
            <w:b/>
            <w:color w:val="auto"/>
            <w:sz w:val="24"/>
            <w:szCs w:val="24"/>
            <w:lang w:val="en-US"/>
          </w:rPr>
          <w:t>tlconf</w:t>
        </w:r>
        <w:r>
          <w:rPr>
            <w:b/>
            <w:color w:val="auto"/>
            <w:sz w:val="24"/>
            <w:szCs w:val="24"/>
          </w:rPr>
          <w:t>@</w:t>
        </w:r>
        <w:r>
          <w:rPr>
            <w:b/>
            <w:color w:val="auto"/>
            <w:sz w:val="24"/>
            <w:szCs w:val="24"/>
            <w:lang w:val="en-US"/>
          </w:rPr>
          <w:t>rgups</w:t>
        </w:r>
        <w:r>
          <w:rPr>
            <w:b/>
            <w:color w:val="auto"/>
            <w:sz w:val="24"/>
            <w:szCs w:val="24"/>
          </w:rPr>
          <w:t>.</w:t>
        </w:r>
        <w:r>
          <w:rPr>
            <w:b/>
            <w:color w:val="auto"/>
            <w:sz w:val="24"/>
            <w:szCs w:val="24"/>
            <w:lang w:val="en-US"/>
          </w:rPr>
          <w:t>ru</w:t>
        </w:r>
      </w:hyperlink>
    </w:p>
    <w:p>
      <w:pPr>
        <w:pStyle w:val="211"/>
        <w:spacing w:before="0" w:after="0"/>
        <w:ind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211"/>
        <w:spacing w:before="0" w:after="0"/>
        <w:ind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Календарь конференции</w:t>
      </w:r>
    </w:p>
    <w:tbl>
      <w:tblPr>
        <w:tblW w:w="65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48"/>
        <w:gridCol w:w="1701"/>
      </w:tblGrid>
      <w:tr>
        <w:trPr>
          <w:trHeight w:val="284" w:hRule="atLeast"/>
        </w:trPr>
        <w:tc>
          <w:tcPr>
            <w:tcW w:w="484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/>
              <w:t>Прием заявок на участие в конференции до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/>
            </w:pPr>
            <w:r>
              <w:rPr>
                <w:b/>
              </w:rPr>
              <w:t>23.0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.2026</w:t>
            </w:r>
          </w:p>
        </w:tc>
      </w:tr>
      <w:tr>
        <w:trPr>
          <w:trHeight w:val="189" w:hRule="atLeast"/>
        </w:trPr>
        <w:tc>
          <w:tcPr>
            <w:tcW w:w="48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/>
              <w:t>Прием докладов до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/>
            </w:pPr>
            <w:r>
              <w:rPr>
                <w:b/>
              </w:rPr>
              <w:t>23.0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.2026 </w:t>
            </w:r>
          </w:p>
        </w:tc>
      </w:tr>
      <w:tr>
        <w:trPr>
          <w:trHeight w:val="278" w:hRule="atLeast"/>
        </w:trPr>
        <w:tc>
          <w:tcPr>
            <w:tcW w:w="48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/>
                <w:b/>
              </w:rPr>
            </w:pPr>
            <w:r>
              <w:rPr/>
              <w:t>Работа конференции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0</w:t>
            </w:r>
            <w:r>
              <w:rPr>
                <w:b/>
                <w:color w:val="000000" w:themeColor="text1"/>
              </w:rPr>
              <w:t>5–</w:t>
            </w:r>
            <w:r>
              <w:rPr>
                <w:b/>
                <w:color w:val="000000" w:themeColor="text1"/>
                <w:lang w:val="en-US"/>
              </w:rPr>
              <w:t>0</w:t>
            </w:r>
            <w:r>
              <w:rPr>
                <w:b/>
                <w:color w:val="000000" w:themeColor="text1"/>
              </w:rPr>
              <w:t xml:space="preserve">6.02.2026 </w:t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suppressAutoHyphens w:val="true"/>
        <w:spacing w:before="0" w:after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211"/>
        <w:spacing w:before="0" w:after="0"/>
        <w:ind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Участие в конференции</w:t>
      </w:r>
    </w:p>
    <w:p>
      <w:pPr>
        <w:pStyle w:val="211"/>
        <w:spacing w:before="0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На конференции планируется участие:</w:t>
      </w:r>
    </w:p>
    <w:p>
      <w:pPr>
        <w:pStyle w:val="211"/>
        <w:spacing w:before="0" w:after="0"/>
        <w:ind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руководителей и специалистов государственных и общественных организаций в области управления и регулирования экономики, транспорта и логистики; </w:t>
      </w:r>
    </w:p>
    <w:p>
      <w:pPr>
        <w:pStyle w:val="211"/>
        <w:spacing w:before="0" w:after="0"/>
        <w:ind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ученых и преподавателей отраслевых, технических и экономических вузов России и зарубежных стран;</w:t>
      </w:r>
    </w:p>
    <w:p>
      <w:pPr>
        <w:pStyle w:val="211"/>
        <w:spacing w:before="0" w:after="0"/>
        <w:ind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руководителей и специалистов видов транспорта и предприятий и организаций транспортной инфраструктуры; </w:t>
      </w:r>
    </w:p>
    <w:p>
      <w:pPr>
        <w:pStyle w:val="211"/>
        <w:spacing w:before="0" w:after="0"/>
        <w:ind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ученых и специалистов проектных и научно-исследовательских организаций транспортного направления;</w:t>
      </w:r>
    </w:p>
    <w:p>
      <w:pPr>
        <w:pStyle w:val="211"/>
        <w:spacing w:before="0" w:after="0"/>
        <w:ind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представителей фирм и предприятий, разрабатывающих технические средства и технологии для транспорта и логистики.</w:t>
      </w:r>
    </w:p>
    <w:p>
      <w:pPr>
        <w:pStyle w:val="211"/>
        <w:spacing w:before="0" w:after="0"/>
        <w:ind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Формы участия в конференции:</w:t>
      </w:r>
    </w:p>
    <w:p>
      <w:pPr>
        <w:pStyle w:val="211"/>
        <w:spacing w:before="0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- для докладчиков и авторов основных и стендовых докладов, отобранных для опубликования в трудах конференции, предполагается 2 формы участия:</w:t>
      </w:r>
    </w:p>
    <w:p>
      <w:pPr>
        <w:pStyle w:val="211"/>
        <w:spacing w:before="0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- на платфор</w:t>
      </w:r>
      <w:r>
        <w:rPr>
          <w:color w:val="000000" w:themeColor="text1"/>
          <w:sz w:val="24"/>
          <w:szCs w:val="24"/>
        </w:rPr>
        <w:t>ме ВКС (</w:t>
      </w:r>
      <w:r>
        <w:rPr>
          <w:sz w:val="24"/>
          <w:szCs w:val="24"/>
        </w:rPr>
        <w:t xml:space="preserve">ссылка на платформу будет отправлена после приема доклада и регистрации участников и размещена на сайте 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rgups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);</w:t>
      </w:r>
    </w:p>
    <w:p>
      <w:pPr>
        <w:pStyle w:val="211"/>
        <w:spacing w:before="0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- личное выступление;</w:t>
      </w:r>
    </w:p>
    <w:p>
      <w:pPr>
        <w:pStyle w:val="211"/>
        <w:spacing w:before="0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- представители предприятий и организаций, участники без докладов.</w:t>
      </w:r>
    </w:p>
    <w:p>
      <w:pPr>
        <w:pStyle w:val="3"/>
        <w:keepLines/>
        <w:numPr>
          <w:ilvl w:val="2"/>
          <w:numId w:val="1"/>
        </w:numPr>
        <w:suppressAutoHyphens w:val="true"/>
        <w:spacing w:before="0" w:after="0"/>
        <w:ind w:left="0" w:hanging="0"/>
        <w:jc w:val="center"/>
        <w:rPr>
          <w:b w:val="false"/>
          <w:b w:val="false"/>
          <w:szCs w:val="24"/>
        </w:rPr>
      </w:pPr>
      <w:r>
        <w:rPr>
          <w:szCs w:val="24"/>
        </w:rPr>
        <w:t>Проезд к РГУПС</w:t>
      </w:r>
    </w:p>
    <w:p>
      <w:pPr>
        <w:pStyle w:val="Style22"/>
        <w:spacing w:before="0" w:after="0"/>
        <w:ind w:left="0" w:hanging="0"/>
        <w:jc w:val="both"/>
        <w:rPr/>
      </w:pPr>
      <w:r>
        <w:rPr>
          <w:b/>
          <w:bCs/>
        </w:rPr>
        <w:t>Наш адрес/ почтовый адрес:</w:t>
      </w:r>
      <w:r>
        <w:rPr/>
        <w:t xml:space="preserve"> 344038, Ростовская область, городской округ город Ростов-на-Дону, город Ростов-на-Дону, площадь Ростовского Стрелкового Полка Народного Ополчения, зд. 2.</w:t>
      </w:r>
    </w:p>
    <w:p>
      <w:pPr>
        <w:pStyle w:val="Style22"/>
        <w:spacing w:before="0" w:after="0"/>
        <w:ind w:left="0" w:hanging="0"/>
        <w:jc w:val="both"/>
        <w:rPr/>
      </w:pPr>
      <w:r>
        <w:rPr>
          <w:spacing w:val="4"/>
        </w:rPr>
        <w:t>От железнодорожного вокзала и автовокзала автобусом</w:t>
      </w:r>
      <w:r>
        <w:rPr/>
        <w:t xml:space="preserve"> № 21 до остановки «РГУПС (РИИЖТ)».</w:t>
      </w:r>
    </w:p>
    <w:p>
      <w:pPr>
        <w:pStyle w:val="3"/>
        <w:keepLines/>
        <w:numPr>
          <w:ilvl w:val="2"/>
          <w:numId w:val="1"/>
        </w:numPr>
        <w:suppressAutoHyphens w:val="true"/>
        <w:spacing w:before="0" w:after="0"/>
        <w:ind w:left="0" w:hanging="0"/>
        <w:jc w:val="both"/>
        <w:rPr>
          <w:szCs w:val="24"/>
        </w:rPr>
      </w:pPr>
      <w:r>
        <w:rPr>
          <w:szCs w:val="24"/>
        </w:rPr>
        <w:t>Размещение участников</w:t>
      </w:r>
    </w:p>
    <w:p>
      <w:pPr>
        <w:pStyle w:val="211"/>
        <w:spacing w:before="0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Иногородним участникам конференции предлагается проживание в ближайших гостиничных комплексах (справки по условиям бронирования и размещения по нижеприведенным телефонам):</w:t>
      </w:r>
    </w:p>
    <w:p>
      <w:pPr>
        <w:pStyle w:val="BodyTextIndent2"/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Конгресс-отель «Маринс Парк Отель Ростов» </w:t>
      </w:r>
      <w:r>
        <w:rPr>
          <w:sz w:val="24"/>
          <w:szCs w:val="24"/>
        </w:rPr>
        <w:t>(Служба размещения тел. (863) 290-76-66);</w:t>
      </w:r>
    </w:p>
    <w:p>
      <w:pPr>
        <w:pStyle w:val="BodyTextIndent2"/>
        <w:spacing w:lineRule="auto" w:line="240" w:before="0" w:after="0"/>
        <w:ind w:left="0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АМАКС Конгресс-отель </w:t>
      </w:r>
      <w:r>
        <w:rPr>
          <w:sz w:val="24"/>
          <w:szCs w:val="24"/>
        </w:rPr>
        <w:t>(Служба бронирования тел. (863) 231-87-40, факс: (863) 232-54-27);</w:t>
      </w:r>
    </w:p>
    <w:p>
      <w:pPr>
        <w:pStyle w:val="BodyTextIndent2"/>
        <w:spacing w:lineRule="auto" w:line="240" w:before="0" w:after="0"/>
        <w:ind w:left="0" w:hanging="0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Topos Congress Hotel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Отдел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бронирования</w:t>
      </w:r>
      <w:r>
        <w:rPr>
          <w:sz w:val="24"/>
          <w:szCs w:val="24"/>
          <w:lang w:val="en-US"/>
        </w:rPr>
        <w:t xml:space="preserve"> (863) 268-77-87).</w:t>
      </w:r>
    </w:p>
    <w:p>
      <w:pPr>
        <w:pStyle w:val="BodyTextIndent2"/>
        <w:spacing w:lineRule="auto" w:line="240" w:before="0" w:after="0"/>
        <w:ind w:left="0" w:hanging="0"/>
        <w:jc w:val="both"/>
        <w:rPr>
          <w:lang w:val="en-US"/>
        </w:rPr>
      </w:pPr>
      <w:r>
        <w:rPr>
          <w:lang w:val="en-US"/>
        </w:rPr>
      </w:r>
    </w:p>
    <w:p>
      <w:pPr>
        <w:pStyle w:val="3"/>
        <w:keepNext w:val="false"/>
        <w:widowControl w:val="false"/>
        <w:spacing w:before="0" w:after="0"/>
        <w:ind w:left="0" w:hanging="0"/>
        <w:contextualSpacing/>
        <w:jc w:val="center"/>
        <w:rPr>
          <w:szCs w:val="24"/>
        </w:rPr>
      </w:pPr>
      <w:r>
        <w:rPr>
          <w:szCs w:val="24"/>
        </w:rPr>
        <w:t>Сборник трудов конференции будет распространяться на коммерческой основе.</w:t>
      </w:r>
    </w:p>
    <w:p>
      <w:pPr>
        <w:pStyle w:val="Normal"/>
        <w:spacing w:before="0" w:after="0"/>
        <w:jc w:val="center"/>
        <w:rPr>
          <w:b/>
          <w:b/>
          <w:sz w:val="18"/>
          <w:szCs w:val="18"/>
        </w:rPr>
      </w:pPr>
      <w:r>
        <w:rPr>
          <w:b/>
        </w:rPr>
        <w:t>Контактная информация:</w:t>
      </w:r>
    </w:p>
    <w:tbl>
      <w:tblPr>
        <w:tblStyle w:val="af5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93"/>
        <w:gridCol w:w="7034"/>
      </w:tblGrid>
      <w:tr>
        <w:trPr>
          <w:trHeight w:val="2617" w:hRule="atLeast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bidi="ar-SA"/>
              </w:rPr>
              <w:drawing>
                <wp:anchor behindDoc="0" distT="0" distB="0" distL="114300" distR="114300" simplePos="0" locked="0" layoutInCell="1" allowOverlap="1" relativeHeight="5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24130</wp:posOffset>
                  </wp:positionV>
                  <wp:extent cx="1358900" cy="1392555"/>
                  <wp:effectExtent l="0" t="0" r="0" b="0"/>
                  <wp:wrapThrough wrapText="bothSides">
                    <wp:wrapPolygon edited="0">
                      <wp:start x="-2" y="0"/>
                      <wp:lineTo x="-2" y="21274"/>
                      <wp:lineTo x="21188" y="21274"/>
                      <wp:lineTo x="21188" y="0"/>
                      <wp:lineTo x="-2" y="0"/>
                    </wp:wrapPolygon>
                  </wp:wrapThrough>
                  <wp:docPr id="3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1634" t="13915" r="8407" b="628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39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bidi="ar-SA"/>
              </w:rPr>
              <w:t>Мамаев Энвер Агапашаевич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bidi="ar-SA"/>
              </w:rPr>
              <w:t xml:space="preserve">Телефон: 8 (863) 272-64-14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bidi="ar-SA"/>
              </w:rPr>
              <w:t>Секретари оргкомитета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bidi="ar-SA"/>
              </w:rPr>
              <w:t>Годованый Кирилл Александрович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bidi="ar-SA"/>
              </w:rPr>
              <w:t xml:space="preserve">Телефон: 8 (863) 272-64-01,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bidi="ar-SA"/>
              </w:rPr>
              <w:t>e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bidi="ar-SA"/>
              </w:rPr>
              <w:t>-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bidi="ar-SA"/>
              </w:rPr>
              <w:t>mail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bidi="ar-SA"/>
              </w:rPr>
              <w:t xml:space="preserve">: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bidi="ar-SA"/>
              </w:rPr>
              <w:t>tlconf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bidi="ar-SA"/>
              </w:rPr>
              <w:t>@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bidi="ar-SA"/>
              </w:rPr>
              <w:t>rgups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bidi="ar-SA"/>
              </w:rPr>
              <w:t>.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bidi="ar-SA"/>
              </w:rPr>
              <w:t>ru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bidi="ar-SA"/>
              </w:rPr>
              <w:t>Муленко Ольга Вениаминовна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bidi="ar-SA"/>
              </w:rPr>
              <w:t xml:space="preserve">Телефон: 8 (863) 272-64-01,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bidi="ar-SA"/>
              </w:rPr>
              <w:t>e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bidi="ar-SA"/>
              </w:rPr>
              <w:t>-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bidi="ar-SA"/>
              </w:rPr>
              <w:t>mail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bidi="ar-SA"/>
              </w:rPr>
              <w:t xml:space="preserve">: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bidi="ar-SA"/>
              </w:rPr>
              <w:t>tlconf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bidi="ar-SA"/>
              </w:rPr>
              <w:t>@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bidi="ar-SA"/>
              </w:rPr>
              <w:t>rgups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bidi="ar-SA"/>
              </w:rPr>
              <w:t>.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bidi="ar-SA"/>
              </w:rPr>
              <w:t>ru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kern w:val="0"/>
                <w:sz w:val="16"/>
                <w:szCs w:val="16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bidi="ar-SA"/>
              </w:rPr>
              <w:t>Дополнительную информацию (Шаблоны оформления Доклада, Дополнительных материалов и Заявки) можно получить по ссылке: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bidi="ar-SA"/>
              </w:rPr>
              <w:t xml:space="preserve">http://www.rgups.ru/science/doktorantura-i-aspirantura-kon-1388/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bidi="ar-SA"/>
              </w:rPr>
            </w:r>
          </w:p>
        </w:tc>
      </w:tr>
    </w:tbl>
    <w:p>
      <w:pPr>
        <w:pStyle w:val="Normal"/>
        <w:suppressAutoHyphens w:val="true"/>
        <w:spacing w:before="0" w:after="0"/>
        <w:jc w:val="center"/>
        <w:rPr>
          <w:b/>
          <w:b/>
          <w:i/>
          <w:i/>
          <w:color w:val="17365D" w:themeColor="text2" w:themeShade="bf"/>
          <w:lang w:eastAsia="ar-SA"/>
        </w:rPr>
      </w:pPr>
      <w:r>
        <w:rPr>
          <w:b/>
          <w:i/>
          <w:color w:val="17365D" w:themeColor="text2" w:themeShade="bf"/>
          <w:lang w:eastAsia="ar-SA"/>
        </w:rPr>
        <w:t xml:space="preserve">Приглашаем Вас принять участие </w:t>
      </w:r>
    </w:p>
    <w:p>
      <w:pPr>
        <w:pStyle w:val="Normal"/>
        <w:suppressAutoHyphens w:val="true"/>
        <w:spacing w:before="0" w:after="0"/>
        <w:jc w:val="center"/>
        <w:rPr>
          <w:b/>
          <w:b/>
          <w:i/>
          <w:i/>
          <w:color w:val="17365D" w:themeColor="text2" w:themeShade="bf"/>
          <w:lang w:eastAsia="ar-SA"/>
        </w:rPr>
      </w:pPr>
      <w:r>
        <w:rPr>
          <w:b/>
          <w:i/>
          <w:color w:val="17365D" w:themeColor="text2" w:themeShade="bf"/>
          <w:lang w:eastAsia="ar-SA"/>
        </w:rPr>
        <w:t>в работе Десятой международной научно-практической конференции «Транспорт и логистика: стратегии, современные технологии и решения в условиях адаптации к глобальным вызовам»</w:t>
      </w:r>
    </w:p>
    <w:p>
      <w:pPr>
        <w:pStyle w:val="Normal"/>
        <w:spacing w:lineRule="auto" w:line="216" w:before="0" w:after="0"/>
        <w:ind w:right="113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16" w:before="0" w:after="0"/>
        <w:ind w:right="113" w:hanging="0"/>
        <w:jc w:val="center"/>
        <w:rPr>
          <w:b/>
          <w:b/>
        </w:rPr>
      </w:pPr>
      <w:r>
        <w:rPr>
          <w:b/>
        </w:rPr>
        <w:t>Тематические направления конференции: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Международные транспортные коридоры для отечественной экономики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Стратегии, программы и методология развития транспорта и логистики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Логистика общественного и пассажирского транспорта: инфраструктура, технологии и инновации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Логистика в современных моделях и концепциях экономического развития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процессами перевозок и взаимодействие видов транспорта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Цифровая экономика и логистика, интеллектуальные транспортные системы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Мультимодальные и интермодальные перевозки в цифровой экономике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Аналитические методы и моделирование транспортно-технологических и логистических процессов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Инновационные проекты и решения в области развития транспортно-логистической инфраструктуры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транспортно-логистической инфраструктуры: пути сообщения, подвижной состав, логистические хабы и системы управления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тенденции в экономике транспорта и логистики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Реверсивная (обратная) и «зелёная» логистика: энергосбережение, ресурсная эффективность и устойчивое развитие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Безопасность, надежность, охрана труда и экологическая устойчивость транспортно-логистических систем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firstLine="360"/>
        <w:jc w:val="both"/>
        <w:rPr>
          <w:b/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Normal"/>
        <w:spacing w:before="0" w:after="0"/>
        <w:jc w:val="both"/>
        <w:rPr>
          <w:b/>
          <w:b/>
          <w:bCs/>
        </w:rPr>
      </w:pPr>
      <w:r>
        <w:rPr>
          <w:b/>
          <w:bCs/>
        </w:rPr>
        <w:t>Рабочий язык конференции – русский.</w:t>
      </w:r>
    </w:p>
    <w:p>
      <w:pPr>
        <w:pStyle w:val="Normal"/>
        <w:spacing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16" w:before="0" w:after="0"/>
        <w:jc w:val="center"/>
        <w:rPr>
          <w:b/>
          <w:b/>
          <w:bCs/>
        </w:rPr>
      </w:pPr>
      <w:r>
        <w:rPr>
          <w:b/>
          <w:bCs/>
        </w:rPr>
        <w:t>Оргкомитет конференции:</w:t>
      </w:r>
    </w:p>
    <w:p>
      <w:pPr>
        <w:pStyle w:val="Normal"/>
        <w:spacing w:before="0" w:after="0"/>
        <w:ind w:firstLine="709"/>
        <w:jc w:val="center"/>
        <w:rPr>
          <w:b/>
          <w:b/>
          <w:bCs/>
        </w:rPr>
      </w:pPr>
      <w:r>
        <w:rPr>
          <w:b/>
          <w:bCs/>
        </w:rPr>
        <w:t>Председатель:</w:t>
      </w:r>
    </w:p>
    <w:p>
      <w:pPr>
        <w:pStyle w:val="Normal"/>
        <w:spacing w:before="0" w:after="0"/>
        <w:ind w:left="-15" w:firstLine="15"/>
        <w:jc w:val="center"/>
        <w:rPr>
          <w:bCs/>
        </w:rPr>
      </w:pPr>
      <w:r>
        <w:rPr>
          <w:bCs/>
        </w:rPr>
        <w:t>Гуда А.Н.</w:t>
      </w:r>
      <w:r>
        <w:rPr>
          <w:b/>
          <w:bCs/>
        </w:rPr>
        <w:t xml:space="preserve"> – </w:t>
      </w:r>
      <w:r>
        <w:rPr/>
        <w:t>председатель, проректор по научной работе ФГБОУ ВО РГУПС, д.т.н., профессор</w:t>
      </w:r>
    </w:p>
    <w:p>
      <w:pPr>
        <w:pStyle w:val="Normal"/>
        <w:spacing w:before="0" w:after="0"/>
        <w:ind w:firstLine="709"/>
        <w:jc w:val="center"/>
        <w:rPr>
          <w:b/>
          <w:b/>
          <w:bCs/>
        </w:rPr>
      </w:pPr>
      <w:r>
        <w:rPr>
          <w:b/>
          <w:bCs/>
        </w:rPr>
        <w:t>Заместитель председателя:</w:t>
      </w:r>
    </w:p>
    <w:p>
      <w:pPr>
        <w:pStyle w:val="Normal"/>
        <w:spacing w:before="0" w:after="0"/>
        <w:jc w:val="center"/>
        <w:rPr/>
      </w:pPr>
      <w:r>
        <w:rPr/>
        <w:t>Мамаев Э.А. – заведующий кафедрой ЛУТС, д.т.н., профессор;</w:t>
      </w:r>
    </w:p>
    <w:p>
      <w:pPr>
        <w:pStyle w:val="Normal"/>
        <w:spacing w:before="0" w:after="0"/>
        <w:ind w:firstLine="709"/>
        <w:jc w:val="center"/>
        <w:rPr/>
      </w:pPr>
      <w:r>
        <w:rPr>
          <w:b/>
          <w:bCs/>
        </w:rPr>
        <w:t>Члены оргкомитета:</w:t>
      </w:r>
    </w:p>
    <w:p>
      <w:pPr>
        <w:pStyle w:val="Normal"/>
        <w:spacing w:before="0" w:after="0"/>
        <w:jc w:val="center"/>
        <w:rPr/>
      </w:pPr>
      <w:r>
        <w:rPr/>
        <w:t>Бакалов М.В. – декан факультета УПП, к.т.н., доцент;</w:t>
      </w:r>
    </w:p>
    <w:p>
      <w:pPr>
        <w:pStyle w:val="Normal"/>
        <w:spacing w:before="0" w:after="0"/>
        <w:jc w:val="center"/>
        <w:rPr/>
      </w:pPr>
      <w:r>
        <w:rPr/>
        <w:t>Яицков И.А. – декан факультета Электромеханический, д.т.н., профессор;</w:t>
      </w:r>
    </w:p>
    <w:p>
      <w:pPr>
        <w:pStyle w:val="Normal"/>
        <w:spacing w:before="0" w:after="0"/>
        <w:jc w:val="center"/>
        <w:rPr/>
      </w:pPr>
      <w:r>
        <w:rPr/>
        <w:t>Финоченко Т.А. – заведующая кафедрой БЖД, к.т.н., доцент;</w:t>
      </w:r>
    </w:p>
    <w:p>
      <w:pPr>
        <w:pStyle w:val="Normal"/>
        <w:spacing w:before="0" w:after="0"/>
        <w:jc w:val="center"/>
        <w:rPr/>
      </w:pPr>
      <w:r>
        <w:rPr/>
        <w:t>Чеботарева Е.А. – заведующий кафедрой УЭР, к.т.н., доцент;</w:t>
      </w:r>
    </w:p>
    <w:p>
      <w:pPr>
        <w:pStyle w:val="Normal"/>
        <w:spacing w:before="0" w:after="0"/>
        <w:jc w:val="center"/>
        <w:rPr/>
      </w:pPr>
      <w:r>
        <w:rPr/>
        <w:t>Числов О.Н. – заведующий кафедрой СГР, д.т.н., профессор;</w:t>
      </w:r>
    </w:p>
    <w:p>
      <w:pPr>
        <w:pStyle w:val="Normal"/>
        <w:spacing w:before="0" w:after="0"/>
        <w:jc w:val="center"/>
        <w:rPr/>
      </w:pPr>
      <w:r>
        <w:rPr/>
        <w:t>Шагинян С.Г. – заведующий кафедрой ЭиМ, д.э.н., профессор;</w:t>
      </w:r>
    </w:p>
    <w:p>
      <w:pPr>
        <w:pStyle w:val="Normal"/>
        <w:spacing w:before="0" w:after="0"/>
        <w:jc w:val="center"/>
        <w:rPr/>
      </w:pPr>
      <w:r>
        <w:rPr/>
        <w:t>Назаретов А.А. – зам. директора НИЧ, к.т.н., доцент каф. ВВХ;</w:t>
      </w:r>
    </w:p>
    <w:p>
      <w:pPr>
        <w:pStyle w:val="Normal"/>
        <w:spacing w:before="0" w:after="0"/>
        <w:jc w:val="center"/>
        <w:rPr/>
      </w:pPr>
      <w:r>
        <w:rPr/>
        <w:t>Муленко О.В. –доцент кафедры ЛУТС, к.т.н., доцент;</w:t>
      </w:r>
    </w:p>
    <w:p>
      <w:pPr>
        <w:pStyle w:val="Normal"/>
        <w:spacing w:before="0" w:after="0"/>
        <w:jc w:val="center"/>
        <w:rPr/>
      </w:pPr>
      <w:r>
        <w:rPr/>
        <w:t>Годованый К.А. – старший преподаватель кафедры ЛУТС.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br w:type="column"/>
      </w:r>
      <w:r>
        <w:rPr>
          <w:b/>
          <w:bCs/>
          <w:sz w:val="28"/>
          <w:szCs w:val="28"/>
        </w:rPr>
        <w:t>ТРЕБОВАНИЯ К ОФОРМЛЕНИЮ ДОКЛАДА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0" w:after="120"/>
        <w:ind w:firstLine="709"/>
        <w:contextualSpacing/>
        <w:jc w:val="both"/>
        <w:rPr>
          <w:bCs/>
        </w:rPr>
      </w:pPr>
      <w:r>
        <w:rPr>
          <w:bCs/>
        </w:rPr>
        <w:t xml:space="preserve">Доклады печатаются авторами в текстовом редакторе </w:t>
      </w:r>
      <w:r>
        <w:rPr>
          <w:bCs/>
          <w:lang w:val="en-US"/>
        </w:rPr>
        <w:t>Word</w:t>
      </w:r>
      <w:r>
        <w:rPr>
          <w:bCs/>
        </w:rPr>
        <w:t xml:space="preserve"> </w:t>
      </w:r>
      <w:r>
        <w:rPr>
          <w:bCs/>
          <w:lang w:val="en-US"/>
        </w:rPr>
        <w:t>for</w:t>
      </w:r>
      <w:r>
        <w:rPr>
          <w:bCs/>
        </w:rPr>
        <w:t xml:space="preserve"> </w:t>
      </w:r>
      <w:r>
        <w:rPr>
          <w:bCs/>
          <w:lang w:val="en-US"/>
        </w:rPr>
        <w:t>Windows</w:t>
      </w:r>
      <w:r>
        <w:rPr>
          <w:bCs/>
        </w:rPr>
        <w:t xml:space="preserve"> не ниже версии 6.0, с расширением *.</w:t>
      </w:r>
      <w:r>
        <w:rPr>
          <w:bCs/>
          <w:lang w:val="en-US"/>
        </w:rPr>
        <w:t>doc</w:t>
      </w:r>
      <w:r>
        <w:rPr>
          <w:bCs/>
        </w:rPr>
        <w:t xml:space="preserve"> или *.</w:t>
      </w:r>
      <w:r>
        <w:rPr>
          <w:bCs/>
          <w:lang w:val="en-US"/>
        </w:rPr>
        <w:t>docx</w:t>
      </w:r>
      <w:r>
        <w:rPr>
          <w:bCs/>
        </w:rPr>
        <w:t xml:space="preserve">, параметры страницы: размер бумаги – А4, поля: левое, верхнее, нижнее, правое – 2,0 см, ориентация страницы – книжная, шрифт – </w:t>
      </w:r>
      <w:r>
        <w:rPr>
          <w:bCs/>
          <w:lang w:val="en-US"/>
        </w:rPr>
        <w:t>Times</w:t>
      </w:r>
      <w:r>
        <w:rPr>
          <w:bCs/>
        </w:rPr>
        <w:t xml:space="preserve"> </w:t>
      </w:r>
      <w:r>
        <w:rPr>
          <w:bCs/>
          <w:lang w:val="en-US"/>
        </w:rPr>
        <w:t>New</w:t>
      </w:r>
      <w:r>
        <w:rPr>
          <w:bCs/>
        </w:rPr>
        <w:t xml:space="preserve"> </w:t>
      </w:r>
      <w:r>
        <w:rPr>
          <w:bCs/>
          <w:lang w:val="en-US"/>
        </w:rPr>
        <w:t>Roman</w:t>
      </w:r>
      <w:r>
        <w:rPr>
          <w:bCs/>
        </w:rPr>
        <w:t xml:space="preserve"> </w:t>
      </w:r>
      <w:r>
        <w:rPr>
          <w:bCs/>
          <w:lang w:val="en-US"/>
        </w:rPr>
        <w:t>Cyr</w:t>
      </w:r>
      <w:r>
        <w:rPr>
          <w:bCs/>
        </w:rPr>
        <w:t xml:space="preserve">, размер шрифта – 14 </w:t>
      </w:r>
      <w:r>
        <w:rPr>
          <w:bCs/>
          <w:lang w:val="en-US"/>
        </w:rPr>
        <w:t>pt</w:t>
      </w:r>
      <w:r>
        <w:rPr>
          <w:bCs/>
        </w:rPr>
        <w:t xml:space="preserve">, межзнаковый интервал – обычный, выравнивание – по ширине, уровень – обычный текст, абзац: отступы слева, справа – 0 см, первая строка – отступ 1,25 см, интервалы перед, после – 0, межстрочный интервал одинарный, </w:t>
      </w:r>
      <w:r>
        <w:rPr>
          <w:b/>
          <w:bCs/>
          <w:i/>
        </w:rPr>
        <w:t>без переносов</w:t>
      </w:r>
      <w:r>
        <w:rPr>
          <w:bCs/>
        </w:rPr>
        <w:t>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0" w:after="120"/>
        <w:ind w:firstLine="709"/>
        <w:contextualSpacing/>
        <w:jc w:val="both"/>
        <w:rPr>
          <w:bCs/>
          <w:spacing w:val="-4"/>
        </w:rPr>
      </w:pPr>
      <w:r>
        <w:rPr>
          <w:bCs/>
          <w:spacing w:val="-4"/>
        </w:rPr>
        <w:t xml:space="preserve">В левом верхнем углу – УДК, ниже через интервал – название доклада прописными буквами, полужирно, по центру, </w:t>
      </w:r>
      <w:r>
        <w:rPr>
          <w:b/>
          <w:bCs/>
          <w:i/>
          <w:spacing w:val="-4"/>
        </w:rPr>
        <w:t>без переносов</w:t>
      </w:r>
      <w:r>
        <w:rPr>
          <w:bCs/>
          <w:spacing w:val="-4"/>
        </w:rPr>
        <w:t xml:space="preserve">. Строкой ниже, через интервал – инициалы, фамилии авторов по центру, далее на следующей строке – наименование организации курсивом. Далее, через интервал печатается весь представленный текст. 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0" w:after="120"/>
        <w:ind w:firstLine="709"/>
        <w:contextualSpacing/>
        <w:jc w:val="both"/>
        <w:rPr>
          <w:bCs/>
        </w:rPr>
      </w:pPr>
      <w:r>
        <w:rPr>
          <w:bCs/>
        </w:rPr>
        <w:t>Рисунки – черно-белые, без заливки цветом и внедряются в документ как объекты в формате *.</w:t>
      </w:r>
      <w:r>
        <w:rPr>
          <w:bCs/>
          <w:lang w:val="en-US"/>
        </w:rPr>
        <w:t>jpg</w:t>
      </w:r>
      <w:r>
        <w:rPr>
          <w:bCs/>
        </w:rPr>
        <w:t xml:space="preserve"> и располагаются </w:t>
      </w:r>
      <w:r>
        <w:rPr>
          <w:b/>
          <w:bCs/>
          <w:i/>
        </w:rPr>
        <w:t>в тексте без обтекания</w:t>
      </w:r>
      <w:r>
        <w:rPr>
          <w:bCs/>
        </w:rPr>
        <w:t xml:space="preserve">. Подписываются: Рис. 1 – Название. Расстояние от текста до рисунка или таблицы сверху и снизу – 1 интервал, выравниваются подписи рисунков по центру без абзацного отступа. 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0" w:after="120"/>
        <w:ind w:firstLine="709"/>
        <w:contextualSpacing/>
        <w:jc w:val="both"/>
        <w:rPr>
          <w:bCs/>
        </w:rPr>
      </w:pPr>
      <w:r>
        <w:rPr>
          <w:bCs/>
        </w:rPr>
        <w:t>Таблицы подписываются: Таблица 1 – Название. Подписи таблиц размещаются над самой таблицей, выравниваются по ширине страницы, слово «Таблица» начинается без абзацного отступа с начала строки, вторые и последующие строки начинаются под первой буквой названия таблицы.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0" w:after="120"/>
        <w:ind w:firstLine="709"/>
        <w:contextualSpacing/>
        <w:jc w:val="both"/>
        <w:rPr>
          <w:bCs/>
        </w:rPr>
      </w:pPr>
      <w:r>
        <w:rPr>
          <w:bCs/>
        </w:rPr>
        <w:t xml:space="preserve">Формулы, приведенные в тексте необходимо набирать в программе </w:t>
      </w:r>
      <w:r>
        <w:rPr>
          <w:bCs/>
          <w:lang w:val="en-US"/>
        </w:rPr>
        <w:t>MathType</w:t>
      </w:r>
      <w:r>
        <w:rPr>
          <w:bCs/>
        </w:rPr>
        <w:t>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0" w:after="120"/>
        <w:ind w:firstLine="709"/>
        <w:contextualSpacing/>
        <w:jc w:val="both"/>
        <w:rPr>
          <w:bCs/>
        </w:rPr>
      </w:pPr>
      <w:r>
        <w:rPr>
          <w:bCs/>
        </w:rPr>
        <w:t>Ссылки на источники, указанные в Библиографическом списке, в тексте трудов (доклада) обязательно проставляются в квадратных скобках: [2]. Если Библиографический список не приводится, то ссылки в виде квадратных скобок и цифры внутри статьи недопустимы. Библиографический список приводится в материалах, прилагаемых к статье.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0" w:after="120"/>
        <w:ind w:firstLine="709"/>
        <w:contextualSpacing/>
        <w:jc w:val="both"/>
        <w:rPr>
          <w:bCs/>
        </w:rPr>
      </w:pPr>
      <w:r>
        <w:rPr>
          <w:bCs/>
        </w:rPr>
        <w:t xml:space="preserve">Объем для докладов: </w:t>
      </w:r>
      <w:r>
        <w:rPr>
          <w:b/>
          <w:bCs/>
        </w:rPr>
        <w:t>не менее 3-х и не более 5-ти целиком заполненных страниц</w:t>
      </w:r>
      <w:r>
        <w:rPr>
          <w:bCs/>
        </w:rPr>
        <w:t xml:space="preserve">. 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0" w:after="120"/>
        <w:ind w:firstLine="709"/>
        <w:contextualSpacing/>
        <w:jc w:val="both"/>
        <w:rPr>
          <w:bCs/>
        </w:rPr>
      </w:pPr>
      <w:r>
        <w:rPr>
          <w:bCs/>
        </w:rPr>
        <w:t>Автор имеет право опубликовать один доклад и второй в качестве соавтора.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120"/>
        <w:ind w:left="0" w:firstLine="709"/>
        <w:contextualSpacing/>
        <w:jc w:val="both"/>
        <w:rPr>
          <w:b/>
          <w:b/>
          <w:bCs/>
          <w:i/>
          <w:i/>
        </w:rPr>
      </w:pPr>
      <w:r>
        <w:rPr/>
        <w:t xml:space="preserve">Представляется экземпляр текста </w:t>
      </w:r>
      <w:r>
        <w:rPr>
          <w:b/>
          <w:bCs/>
          <w:i/>
          <w:iCs/>
        </w:rPr>
        <w:t xml:space="preserve">на электронном носителе или по электронной почте. Файл доклада, заявки и дополнительных материалов назвать фамилиями авторов. </w:t>
      </w:r>
      <w:r>
        <w:rPr>
          <w:bCs/>
          <w:iCs/>
        </w:rPr>
        <w:t xml:space="preserve">(Доклад – </w:t>
      </w:r>
      <w:r>
        <w:rPr>
          <w:b/>
          <w:bCs/>
          <w:i/>
          <w:iCs/>
        </w:rPr>
        <w:t>«Иванов, Петров.</w:t>
      </w:r>
      <w:r>
        <w:rPr>
          <w:b/>
          <w:bCs/>
          <w:i/>
          <w:iCs/>
          <w:lang w:val="en-US"/>
        </w:rPr>
        <w:t>doc</w:t>
      </w:r>
      <w:r>
        <w:rPr>
          <w:b/>
          <w:bCs/>
          <w:i/>
          <w:iCs/>
        </w:rPr>
        <w:t>»</w:t>
      </w:r>
      <w:r>
        <w:rPr>
          <w:bCs/>
          <w:iCs/>
        </w:rPr>
        <w:t xml:space="preserve">; Заявка – </w:t>
      </w:r>
      <w:r>
        <w:rPr>
          <w:b/>
          <w:bCs/>
          <w:i/>
          <w:iCs/>
        </w:rPr>
        <w:t>«Заявка Иванов, Петров.</w:t>
      </w:r>
      <w:r>
        <w:rPr>
          <w:b/>
          <w:bCs/>
          <w:i/>
          <w:iCs/>
          <w:lang w:val="en-US"/>
        </w:rPr>
        <w:t>doc</w:t>
      </w:r>
      <w:r>
        <w:rPr>
          <w:b/>
          <w:bCs/>
          <w:i/>
          <w:iCs/>
        </w:rPr>
        <w:t>»</w:t>
      </w:r>
      <w:r>
        <w:rPr>
          <w:bCs/>
          <w:iCs/>
        </w:rPr>
        <w:t xml:space="preserve">; Дополнительные материалы – </w:t>
      </w:r>
      <w:r>
        <w:rPr>
          <w:b/>
          <w:bCs/>
          <w:i/>
          <w:iCs/>
        </w:rPr>
        <w:t>«ДМ Иванов, Петров.</w:t>
      </w:r>
      <w:r>
        <w:rPr>
          <w:b/>
          <w:bCs/>
          <w:i/>
          <w:iCs/>
          <w:lang w:val="en-US"/>
        </w:rPr>
        <w:t>doc</w:t>
      </w:r>
      <w:r>
        <w:rPr>
          <w:b/>
          <w:bCs/>
          <w:i/>
          <w:iCs/>
        </w:rPr>
        <w:t>»</w:t>
      </w:r>
      <w:r>
        <w:rPr>
          <w:bCs/>
          <w:iCs/>
        </w:rPr>
        <w:t>)</w:t>
      </w:r>
    </w:p>
    <w:p>
      <w:pPr>
        <w:pStyle w:val="Normal"/>
        <w:widowControl w:val="false"/>
        <w:numPr>
          <w:ilvl w:val="2"/>
          <w:numId w:val="1"/>
        </w:numPr>
        <w:tabs>
          <w:tab w:val="clear" w:pos="708"/>
          <w:tab w:val="left" w:pos="993" w:leader="none"/>
        </w:tabs>
        <w:spacing w:before="0" w:after="120"/>
        <w:ind w:left="0" w:firstLine="709"/>
        <w:contextualSpacing/>
        <w:jc w:val="both"/>
        <w:rPr>
          <w:bCs/>
        </w:rPr>
      </w:pPr>
      <w:r>
        <w:rPr>
          <w:b/>
          <w:bCs/>
          <w:i/>
        </w:rPr>
        <w:t xml:space="preserve">Библиографический список </w:t>
      </w:r>
      <w:r>
        <w:rPr>
          <w:bCs/>
        </w:rPr>
        <w:t>(не более 6 источников) оформляется согласно ГОСТ 7.1-2003 на языке оригинала и входит в состав статьи.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0" w:after="120"/>
        <w:ind w:firstLine="709"/>
        <w:contextualSpacing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Материалы, выполненные с отступлениями от указанных правил, к публикации не принимаются (пример оформления в отдельном файле «Пример оформления»).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0" w:after="120"/>
        <w:ind w:firstLine="709"/>
        <w:contextualSpacing/>
        <w:jc w:val="both"/>
        <w:rPr/>
      </w:pPr>
      <w:r>
        <w:rPr/>
        <w:t>Оргкомитет оставляет за собой право отбора материалов для включения в сборник трудов конференции. Сборник будет включен в Российский индекс научного цитирования (РИНЦ).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120"/>
        <w:ind w:left="0" w:hanging="0"/>
        <w:contextualSpacing/>
        <w:jc w:val="center"/>
        <w:rPr>
          <w:b/>
          <w:b/>
          <w:bCs/>
        </w:rPr>
      </w:pPr>
      <w:r>
        <w:rPr>
          <w:b/>
          <w:bCs/>
        </w:rPr>
        <w:t xml:space="preserve">ТРЕБОВАНИЯ К ДОПОЛНИТЕЛЬНЫМ МАТЕРИАЛАМ К ДОКЛАДУ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120"/>
        <w:ind w:left="0" w:hanging="0"/>
        <w:contextualSpacing/>
        <w:jc w:val="both"/>
        <w:rPr>
          <w:b/>
          <w:b/>
          <w:bCs/>
          <w:i/>
          <w:i/>
        </w:rPr>
      </w:pPr>
      <w:r>
        <w:rPr>
          <w:b/>
          <w:bCs/>
          <w:i/>
        </w:rPr>
        <w:t>1. Сведения об авторах (на русском и английском языках):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before="0" w:after="120"/>
        <w:ind w:left="0" w:hanging="0"/>
        <w:contextualSpacing/>
        <w:jc w:val="both"/>
        <w:rPr>
          <w:bCs/>
        </w:rPr>
      </w:pPr>
      <w:r>
        <w:rPr>
          <w:bCs/>
        </w:rPr>
        <w:t>-</w:t>
        <w:tab/>
      </w:r>
      <w:r>
        <w:rPr>
          <w:bCs/>
          <w:spacing w:val="-8"/>
        </w:rPr>
        <w:t>Фамилия, имя, отчество автора (полностью, без сокращений).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before="0" w:after="120"/>
        <w:ind w:left="0" w:hanging="0"/>
        <w:contextualSpacing/>
        <w:jc w:val="both"/>
        <w:rPr>
          <w:bCs/>
        </w:rPr>
      </w:pPr>
      <w:r>
        <w:rPr>
          <w:bCs/>
        </w:rPr>
        <w:t>-</w:t>
        <w:tab/>
        <w:t>Место работы каждого автора в именительном падеже (полное название организации в соответствии с Уставом без сокращений).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before="0" w:after="120"/>
        <w:ind w:left="0" w:hanging="0"/>
        <w:contextualSpacing/>
        <w:jc w:val="both"/>
        <w:rPr>
          <w:bCs/>
        </w:rPr>
      </w:pPr>
      <w:r>
        <w:rPr>
          <w:bCs/>
        </w:rPr>
        <w:t>-</w:t>
        <w:tab/>
        <w:t>Почтовый адрес места работы с указанием почтового индекса (четко, не допуская иной трактовки, указать место работы конкретного автора).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before="0" w:after="120"/>
        <w:ind w:left="0" w:hanging="0"/>
        <w:contextualSpacing/>
        <w:jc w:val="both"/>
        <w:rPr>
          <w:bCs/>
        </w:rPr>
      </w:pPr>
      <w:r>
        <w:rPr>
          <w:bCs/>
        </w:rPr>
        <w:t>-</w:t>
        <w:tab/>
        <w:t>E-mail.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before="0" w:after="120"/>
        <w:ind w:left="0" w:hanging="0"/>
        <w:contextualSpacing/>
        <w:jc w:val="both"/>
        <w:rPr>
          <w:bCs/>
        </w:rPr>
      </w:pPr>
      <w:r>
        <w:rPr>
          <w:bCs/>
        </w:rPr>
        <w:t>-</w:t>
        <w:tab/>
        <w:t>Ученая степень, ученое звание, должность.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before="0" w:after="120"/>
        <w:ind w:left="0" w:hanging="0"/>
        <w:contextualSpacing/>
        <w:jc w:val="both"/>
        <w:rPr>
          <w:bCs/>
        </w:rPr>
      </w:pPr>
      <w:r>
        <w:rPr>
          <w:bCs/>
        </w:rPr>
        <w:t>-</w:t>
        <w:tab/>
        <w:t>Сведения об авторах составляются для каждого автора отдельно в порядке упоминания.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120"/>
        <w:ind w:left="0" w:hanging="0"/>
        <w:contextualSpacing/>
        <w:jc w:val="both"/>
        <w:rPr>
          <w:b/>
          <w:b/>
          <w:bCs/>
          <w:i/>
          <w:i/>
        </w:rPr>
      </w:pPr>
      <w:r>
        <w:rPr>
          <w:b/>
          <w:bCs/>
          <w:i/>
        </w:rPr>
        <w:t>2. Аннотация (на русском и английском языках):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before="0" w:after="120"/>
        <w:ind w:left="0" w:hanging="0"/>
        <w:contextualSpacing/>
        <w:jc w:val="both"/>
        <w:rPr>
          <w:bCs/>
        </w:rPr>
      </w:pPr>
      <w:r>
        <w:rPr>
          <w:bCs/>
        </w:rPr>
        <w:t>-</w:t>
        <w:tab/>
        <w:t>УДК, название доклада (заглавными буквами, полужирно).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before="0" w:after="120"/>
        <w:ind w:left="0" w:hanging="0"/>
        <w:contextualSpacing/>
        <w:jc w:val="both"/>
        <w:rPr>
          <w:bCs/>
        </w:rPr>
      </w:pPr>
      <w:r>
        <w:rPr>
          <w:bCs/>
        </w:rPr>
        <w:t>-</w:t>
        <w:tab/>
        <w:t>Аннотация (краткое содержание статьи, включающее 3–4 предложения).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before="0" w:after="120"/>
        <w:ind w:left="0" w:hanging="0"/>
        <w:contextualSpacing/>
        <w:jc w:val="both"/>
        <w:rPr>
          <w:b/>
          <w:b/>
          <w:bCs/>
          <w:i/>
          <w:i/>
        </w:rPr>
      </w:pPr>
      <w:r>
        <w:rPr>
          <w:b/>
          <w:bCs/>
          <w:i/>
        </w:rPr>
        <w:t>3. Ключевые слова (на русском и английском языках).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before="0" w:after="120"/>
        <w:ind w:left="0" w:hanging="0"/>
        <w:contextualSpacing/>
        <w:jc w:val="both"/>
        <w:rPr>
          <w:bCs/>
        </w:rPr>
      </w:pPr>
      <w:r>
        <w:rPr>
          <w:bCs/>
        </w:rPr>
        <w:t>-</w:t>
        <w:tab/>
        <w:t>Каждое ключевое слово или словосочетание отделяется от другого запятой.</w:t>
      </w:r>
      <w:r>
        <w:br w:type="page"/>
      </w:r>
    </w:p>
    <w:p>
      <w:pPr>
        <w:pStyle w:val="Normal"/>
        <w:widowControl w:val="false"/>
        <w:spacing w:lineRule="auto" w:line="194"/>
        <w:jc w:val="both"/>
        <w:rPr>
          <w:sz w:val="28"/>
          <w:szCs w:val="28"/>
        </w:rPr>
      </w:pPr>
      <w:r>
        <w:rPr>
          <w:sz w:val="28"/>
          <w:szCs w:val="28"/>
        </w:rPr>
        <w:t>УДК 629.42.016.2/.5-592</w:t>
      </w:r>
    </w:p>
    <w:p>
      <w:pPr>
        <w:pStyle w:val="Normal"/>
        <w:widowControl w:val="false"/>
        <w:spacing w:lineRule="auto" w:line="19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194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ОПРЕДЕЛЕНИЕ ЭНЕРГОЭФФЕКТИВНЫХ РЕЖИМОВ РАЗГОНА ПОЕЗДОВ</w:t>
      </w:r>
    </w:p>
    <w:p>
      <w:pPr>
        <w:pStyle w:val="Normal"/>
        <w:widowControl w:val="false"/>
        <w:spacing w:lineRule="auto" w:line="196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auto" w:line="196" w:before="0" w:after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П.П. Петров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И.И. Иванов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С.С. Сидоров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widowControl w:val="false"/>
        <w:spacing w:lineRule="auto" w:line="196" w:before="0" w:after="0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  <w:vertAlign w:val="superscript"/>
        </w:rPr>
        <w:t>1</w:t>
      </w:r>
      <w:r>
        <w:rPr>
          <w:i/>
          <w:sz w:val="28"/>
          <w:szCs w:val="28"/>
        </w:rPr>
        <w:t xml:space="preserve">ФГБОУ ВО «Ростовский государственный университет путей сообщения», </w:t>
      </w:r>
    </w:p>
    <w:p>
      <w:pPr>
        <w:pStyle w:val="Normal"/>
        <w:widowControl w:val="false"/>
        <w:spacing w:lineRule="auto" w:line="196" w:before="0" w:after="0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г. Ростов-на-Дону, Россия</w:t>
      </w:r>
    </w:p>
    <w:p>
      <w:pPr>
        <w:pStyle w:val="Normal"/>
        <w:widowControl w:val="false"/>
        <w:spacing w:lineRule="auto" w:line="196" w:before="0" w:after="0"/>
        <w:jc w:val="center"/>
        <w:rPr>
          <w:i/>
          <w:i/>
          <w:sz w:val="28"/>
          <w:szCs w:val="28"/>
        </w:rPr>
      </w:pPr>
      <w:r>
        <w:rPr>
          <w:i/>
          <w:iCs/>
          <w:sz w:val="28"/>
          <w:szCs w:val="28"/>
          <w:vertAlign w:val="superscript"/>
        </w:rPr>
        <w:t>2</w:t>
      </w:r>
      <w:r>
        <w:rPr>
          <w:i/>
          <w:iCs/>
          <w:sz w:val="28"/>
          <w:szCs w:val="28"/>
        </w:rPr>
        <w:t>ОАО «РЖД», г. Москва, Россия</w:t>
      </w:r>
    </w:p>
    <w:p>
      <w:pPr>
        <w:pStyle w:val="Normal"/>
        <w:widowControl w:val="false"/>
        <w:spacing w:lineRule="auto" w:line="196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1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Режим разгона поезда характеризуется выбором правильного положения рукоятки контроллера машиниста в период пуска [1]. Машинист перед выбором режима разгона поезда должен учесть ... и т.д. [2]. Получена трехмерная поверхность (рис. 1), которая ...</w:t>
      </w:r>
    </w:p>
    <w:p>
      <w:pPr>
        <w:pStyle w:val="Normal"/>
        <w:widowControl w:val="false"/>
        <w:spacing w:lineRule="auto" w:line="19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194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3342005" cy="1661795"/>
            <wp:effectExtent l="0" t="0" r="0" b="0"/>
            <wp:docPr id="4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118" t="0" r="14474" b="11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005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194"/>
        <w:jc w:val="center"/>
        <w:rPr>
          <w:sz w:val="28"/>
          <w:szCs w:val="28"/>
        </w:rPr>
      </w:pPr>
      <w:r>
        <w:rPr>
          <w:sz w:val="28"/>
          <w:szCs w:val="28"/>
        </w:rPr>
        <w:t>Рис. 1 – Схема включения элементов защиты рельсовых цепей тональной частоты при любом виде тяги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 наведения напряжений на жилы магистральных кабелей представлен на рисунке 3.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560" w:hanging="1560"/>
        <w:rPr>
          <w:sz w:val="28"/>
          <w:szCs w:val="28"/>
        </w:rPr>
      </w:pPr>
      <w:r>
        <w:rPr>
          <w:sz w:val="28"/>
          <w:szCs w:val="28"/>
        </w:rPr>
        <w:t>Таблица 1 – Сравнение поступивших заявок на грузоперевозку к объему выполненных заявок</w:t>
      </w:r>
    </w:p>
    <w:tbl>
      <w:tblPr>
        <w:tblStyle w:val="TableGrid"/>
        <w:tblW w:w="9642" w:type="dxa"/>
        <w:jc w:val="center"/>
        <w:tblInd w:w="0" w:type="dxa"/>
        <w:tblLayout w:type="fixed"/>
        <w:tblCellMar>
          <w:top w:w="53" w:type="dxa"/>
          <w:left w:w="370" w:type="dxa"/>
          <w:bottom w:w="0" w:type="dxa"/>
          <w:right w:w="370" w:type="dxa"/>
        </w:tblCellMar>
        <w:tblLook w:val="04a0" w:noHBand="0" w:noVBand="1" w:firstColumn="1" w:lastRow="0" w:lastColumn="0" w:firstRow="1"/>
      </w:tblPr>
      <w:tblGrid>
        <w:gridCol w:w="2406"/>
        <w:gridCol w:w="4459"/>
        <w:gridCol w:w="2777"/>
      </w:tblGrid>
      <w:tr>
        <w:trPr>
          <w:trHeight w:val="429" w:hRule="atLeast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bidi="ar-SA"/>
              </w:rPr>
              <w:t>Год</w:t>
            </w:r>
          </w:p>
        </w:tc>
        <w:tc>
          <w:tcPr>
            <w:tcW w:w="4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bidi="ar-SA"/>
              </w:rPr>
              <w:t>Кол-во поступивших заявок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bidi="ar-SA"/>
              </w:rPr>
              <w:t>Закрыто заявок</w:t>
            </w:r>
          </w:p>
        </w:tc>
      </w:tr>
      <w:tr>
        <w:trPr>
          <w:trHeight w:val="312" w:hRule="atLeast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left="1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bidi="ar-SA"/>
              </w:rPr>
              <w:t>2019</w:t>
            </w:r>
          </w:p>
        </w:tc>
        <w:tc>
          <w:tcPr>
            <w:tcW w:w="4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left="1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bidi="ar-SA"/>
              </w:rPr>
              <w:t>1525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left="1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bidi="ar-SA"/>
              </w:rPr>
              <w:t>1480</w:t>
            </w:r>
          </w:p>
        </w:tc>
      </w:tr>
      <w:tr>
        <w:trPr>
          <w:trHeight w:val="312" w:hRule="atLeast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left="14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bidi="ar-SA"/>
              </w:rPr>
              <w:t>2020</w:t>
            </w:r>
          </w:p>
        </w:tc>
        <w:tc>
          <w:tcPr>
            <w:tcW w:w="4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bidi="ar-SA"/>
              </w:rPr>
              <w:t>1824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left="24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bidi="ar-SA"/>
              </w:rPr>
              <w:t>1528</w:t>
            </w:r>
          </w:p>
        </w:tc>
      </w:tr>
      <w:tr>
        <w:trPr>
          <w:trHeight w:val="307" w:hRule="atLeast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bidi="ar-SA"/>
              </w:rPr>
              <w:t>2021</w:t>
            </w:r>
          </w:p>
        </w:tc>
        <w:tc>
          <w:tcPr>
            <w:tcW w:w="4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bidi="ar-SA"/>
              </w:rPr>
              <w:t>1972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ind w:left="19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/>
                <w:kern w:val="0"/>
                <w:sz w:val="28"/>
                <w:szCs w:val="28"/>
                <w:lang w:val="ru-RU" w:bidi="ar-SA"/>
              </w:rPr>
              <w:t>1828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следует отметить актуальность направлений исследования новых энергоэффективных режимов разгона поездов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6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Библиографический список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6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Григорова, С. Р.</w:t>
      </w:r>
      <w:r>
        <w:rPr>
          <w:sz w:val="28"/>
          <w:szCs w:val="28"/>
        </w:rPr>
        <w:t xml:space="preserve"> О резонансном падении силы трения / С. Р. Григорова, Д. М. Толстой // Докл. АН СССР. – 1988. – Т.167, № 3. – С. 562-563.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6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Петров, П. П</w:t>
      </w:r>
      <w:r>
        <w:rPr>
          <w:sz w:val="28"/>
          <w:szCs w:val="28"/>
        </w:rPr>
        <w:t xml:space="preserve">. Энергоэффективные режимы движения поездов / П. П. Петров, И. И. Иванов // Сб. науч. трудов «Инновации на транспорта». – 2020. – С. 25-27.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ДОПОЛНИТЕЛЬНЫЕ МАТЕРИАЛЫ К ДОКЛАДУ </w:t>
      </w:r>
      <w:r>
        <w:rPr>
          <w:b/>
          <w:bCs/>
        </w:rPr>
        <w:t>(отдельным файлом)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УДК 629.42.016.2/.5-592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ОПРЕДЕЛЕНИЕ ЭНЕРГОЭФФЕКТИВНЫХ РЕЖИМОВ РАЗГОНА ПОЕЗДОВ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Петров Петр Петрович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ФГБОУ «Ростовский государственный университет путей сообщения»,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344038, г. Ростов-на-Дону, пл. Ростовского Стрелкового Полка Народного Ополчения, 2,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Д.т.н., доцент кафедры «Логистика и управление транспортными системами»,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e-mail: </w:t>
      </w:r>
      <w:hyperlink r:id="rId7">
        <w:r>
          <w:rPr>
            <w:color w:val="auto"/>
            <w:sz w:val="28"/>
            <w:szCs w:val="28"/>
            <w:u w:val="none"/>
            <w:lang w:val="en-US"/>
          </w:rPr>
          <w:t>petrov@rgups.ru</w:t>
        </w:r>
      </w:hyperlink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Аннотация:</w:t>
      </w:r>
      <w:r>
        <w:rPr>
          <w:i/>
        </w:rPr>
        <w:t xml:space="preserve"> </w:t>
      </w:r>
      <w:r>
        <w:rPr>
          <w:sz w:val="28"/>
          <w:szCs w:val="28"/>
        </w:rPr>
        <w:t>В статье говорится о необходимости развития экологических режимах разгона ….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u w:val="single"/>
        </w:rPr>
        <w:t>Ключевые</w:t>
      </w:r>
      <w:r>
        <w:rPr>
          <w:i/>
          <w:sz w:val="28"/>
          <w:szCs w:val="28"/>
          <w:u w:val="single"/>
          <w:lang w:val="en-US"/>
        </w:rPr>
        <w:t xml:space="preserve"> </w:t>
      </w:r>
      <w:r>
        <w:rPr>
          <w:i/>
          <w:sz w:val="28"/>
          <w:szCs w:val="28"/>
          <w:u w:val="single"/>
        </w:rPr>
        <w:t>слова</w:t>
      </w:r>
      <w:r>
        <w:rPr>
          <w:sz w:val="28"/>
          <w:szCs w:val="28"/>
          <w:u w:val="single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логистика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транспортировка</w:t>
      </w:r>
      <w:r>
        <w:rPr>
          <w:sz w:val="28"/>
          <w:szCs w:val="28"/>
          <w:lang w:val="en-US"/>
        </w:rPr>
        <w:t>…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b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b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DEFINITION OF AN ENERGY EFFICIENT RE-PRESSES OF THE ACCELERATION OF THE TRAIN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b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b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Petrov Petr Petrovich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Rostov State Transport University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344038, Rostov-on-Don, sq. Rostovskogo Strlkovogo Polka Narodnogo Opolcheniya, 2,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Doctor of technical sciences, associate professor of the chair of «Logistics and Management of Transport Systems»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e-mail: </w:t>
      </w:r>
      <w:hyperlink r:id="rId8">
        <w:r>
          <w:rPr>
            <w:color w:val="auto"/>
            <w:sz w:val="28"/>
            <w:szCs w:val="28"/>
            <w:u w:val="none"/>
            <w:lang w:val="en-US"/>
          </w:rPr>
          <w:t>petrov@rgups.ru</w:t>
        </w:r>
      </w:hyperlink>
      <w:r>
        <w:rPr>
          <w:sz w:val="28"/>
          <w:szCs w:val="28"/>
          <w:lang w:val="en-US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u w:val="single"/>
          <w:lang w:val="en-US"/>
        </w:rPr>
        <w:t>Abstract:</w:t>
      </w:r>
      <w:r>
        <w:rPr>
          <w:i/>
          <w:lang w:val="en-US"/>
        </w:rPr>
        <w:t xml:space="preserve"> </w:t>
      </w:r>
      <w:r>
        <w:rPr>
          <w:sz w:val="28"/>
          <w:szCs w:val="28"/>
          <w:lang w:val="en-US"/>
        </w:rPr>
        <w:t>The article talks about the need for the development...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u w:val="single"/>
          <w:lang w:val="en-US"/>
        </w:rPr>
        <w:t>Keywords:</w:t>
      </w:r>
      <w:r>
        <w:rPr>
          <w:sz w:val="28"/>
          <w:szCs w:val="28"/>
          <w:lang w:val="en-US"/>
        </w:rPr>
        <w:t xml:space="preserve"> logistics, transportation…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b/>
          <w:b/>
          <w:bCs/>
          <w:lang w:val="en-US"/>
        </w:rPr>
      </w:pPr>
      <w:r>
        <w:rPr>
          <w:b/>
          <w:sz w:val="28"/>
          <w:szCs w:val="28"/>
        </w:rPr>
        <w:t>ЗАЯВКА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bCs/>
          <w:lang w:val="en-US"/>
        </w:rPr>
        <w:t>(</w:t>
      </w:r>
      <w:r>
        <w:rPr>
          <w:b/>
          <w:bCs/>
        </w:rPr>
        <w:t>отдельным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файлом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в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формате</w:t>
      </w:r>
      <w:r>
        <w:rPr>
          <w:b/>
          <w:bCs/>
          <w:lang w:val="en-US"/>
        </w:rPr>
        <w:t xml:space="preserve"> *.doc </w:t>
      </w:r>
      <w:r>
        <w:rPr>
          <w:b/>
          <w:bCs/>
        </w:rPr>
        <w:t>или</w:t>
      </w:r>
      <w:r>
        <w:rPr>
          <w:b/>
          <w:bCs/>
          <w:lang w:val="en-US"/>
        </w:rPr>
        <w:t xml:space="preserve"> *.docx)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 w:before="0" w:after="0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Прошу включить в программу Десятой международной научно-практической конференции «ТРАНСПОРТ И ЛОГИСТИКА: стратегии, современные технологии и решения в условиях адаптации к глобальным вызовам</w:t>
      </w:r>
      <w:r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 xml:space="preserve"> мой доклад</w:t>
      </w:r>
    </w:p>
    <w:tbl>
      <w:tblPr>
        <w:tblStyle w:val="af5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2"/>
        <w:gridCol w:w="6655"/>
      </w:tblGrid>
      <w:tr>
        <w:trPr/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val="ru-RU" w:eastAsia="en-US" w:bidi="ar-SA"/>
              </w:rPr>
              <w:t>Тема доклада</w:t>
            </w:r>
          </w:p>
        </w:tc>
        <w:tc>
          <w:tcPr>
            <w:tcW w:w="665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sz w:val="18"/>
                <w:szCs w:val="18"/>
                <w:lang w:val="en-US" w:eastAsia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/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val="ru-RU" w:eastAsia="en-US" w:bidi="ar-SA"/>
              </w:rPr>
              <w:t>Авторы</w:t>
            </w:r>
          </w:p>
        </w:tc>
        <w:tc>
          <w:tcPr>
            <w:tcW w:w="6655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sz w:val="18"/>
                <w:szCs w:val="18"/>
                <w:lang w:val="en-US" w:eastAsia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/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val="ru-RU" w:eastAsia="en-US" w:bidi="ar-SA"/>
              </w:rPr>
              <w:t>Фамилия, имя, отчество</w:t>
            </w:r>
          </w:p>
        </w:tc>
        <w:tc>
          <w:tcPr>
            <w:tcW w:w="6655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sz w:val="18"/>
                <w:szCs w:val="18"/>
                <w:lang w:val="en-US" w:eastAsia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/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val="ru-RU" w:eastAsia="en-US" w:bidi="ar-SA"/>
              </w:rPr>
              <w:t xml:space="preserve">Ученое звание, степень </w:t>
            </w:r>
          </w:p>
        </w:tc>
        <w:tc>
          <w:tcPr>
            <w:tcW w:w="6655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sz w:val="18"/>
                <w:szCs w:val="18"/>
                <w:lang w:val="en-US" w:eastAsia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/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val="ru-RU" w:eastAsia="en-US" w:bidi="ar-SA"/>
              </w:rPr>
              <w:t>Должность</w:t>
            </w:r>
          </w:p>
        </w:tc>
        <w:tc>
          <w:tcPr>
            <w:tcW w:w="6655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sz w:val="18"/>
                <w:szCs w:val="18"/>
                <w:lang w:val="en-US" w:eastAsia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/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val="ru-RU" w:eastAsia="en-US" w:bidi="ar-SA"/>
              </w:rPr>
              <w:t>Организация</w:t>
            </w:r>
          </w:p>
        </w:tc>
        <w:tc>
          <w:tcPr>
            <w:tcW w:w="6655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sz w:val="18"/>
                <w:szCs w:val="18"/>
                <w:lang w:val="en-US" w:eastAsia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/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val="ru-RU" w:eastAsia="en-US" w:bidi="ar-SA"/>
              </w:rPr>
              <w:t>Почтовый адрес</w:t>
            </w:r>
          </w:p>
        </w:tc>
        <w:tc>
          <w:tcPr>
            <w:tcW w:w="6655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sz w:val="18"/>
                <w:szCs w:val="18"/>
                <w:lang w:val="en-US" w:eastAsia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/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val="ru-RU" w:eastAsia="en-US" w:bidi="ar-SA"/>
              </w:rPr>
              <w:t>Телефон</w:t>
            </w:r>
          </w:p>
        </w:tc>
        <w:tc>
          <w:tcPr>
            <w:tcW w:w="6655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sz w:val="18"/>
                <w:szCs w:val="18"/>
                <w:lang w:val="en-US" w:eastAsia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  <w:tr>
        <w:trPr/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lang w:val="en-US" w:eastAsia="en-US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E-mail</w:t>
            </w:r>
          </w:p>
        </w:tc>
        <w:tc>
          <w:tcPr>
            <w:tcW w:w="6655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210" w:hanging="0"/>
              <w:jc w:val="both"/>
              <w:rPr>
                <w:sz w:val="18"/>
                <w:szCs w:val="18"/>
                <w:lang w:val="en-US" w:eastAsia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</w:tbl>
    <w:p>
      <w:pPr>
        <w:pStyle w:val="Normal"/>
        <w:ind w:right="210" w:hanging="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19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before="0" w:after="120"/>
        <w:ind w:left="0" w:hanging="0"/>
        <w:contextualSpacing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 Unicode MS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i w:val="false"/>
        <w:u w:val="none"/>
        <w:b w:val="false"/>
        <w:vanish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6c62"/>
    <w:pPr>
      <w:widowControl/>
      <w:bidi w:val="0"/>
      <w:spacing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58748a"/>
    <w:pPr>
      <w:keepNext w:val="true"/>
      <w:outlineLvl w:val="0"/>
    </w:pPr>
    <w:rPr>
      <w:b/>
      <w:szCs w:val="20"/>
      <w:lang w:eastAsia="en-US"/>
    </w:rPr>
  </w:style>
  <w:style w:type="paragraph" w:styleId="2">
    <w:name w:val="Heading 2"/>
    <w:basedOn w:val="Normal"/>
    <w:next w:val="Normal"/>
    <w:link w:val="21"/>
    <w:uiPriority w:val="1"/>
    <w:qFormat/>
    <w:rsid w:val="0058748a"/>
    <w:pPr>
      <w:keepNext w:val="true"/>
      <w:jc w:val="center"/>
      <w:outlineLvl w:val="1"/>
    </w:pPr>
    <w:rPr>
      <w:b/>
      <w:szCs w:val="20"/>
      <w:lang w:eastAsia="en-US"/>
    </w:rPr>
  </w:style>
  <w:style w:type="paragraph" w:styleId="3">
    <w:name w:val="Heading 3"/>
    <w:basedOn w:val="Normal"/>
    <w:next w:val="Normal"/>
    <w:link w:val="31"/>
    <w:uiPriority w:val="1"/>
    <w:qFormat/>
    <w:rsid w:val="0058748a"/>
    <w:pPr>
      <w:keepNext w:val="true"/>
      <w:ind w:left="360" w:hanging="0"/>
      <w:outlineLvl w:val="2"/>
    </w:pPr>
    <w:rPr>
      <w:b/>
      <w:szCs w:val="20"/>
      <w:lang w:eastAsia="en-US"/>
    </w:rPr>
  </w:style>
  <w:style w:type="paragraph" w:styleId="4">
    <w:name w:val="Heading 4"/>
    <w:basedOn w:val="Normal"/>
    <w:next w:val="Normal"/>
    <w:link w:val="41"/>
    <w:uiPriority w:val="1"/>
    <w:qFormat/>
    <w:rsid w:val="0058748a"/>
    <w:pPr>
      <w:keepNext w:val="true"/>
      <w:spacing w:before="0" w:after="200"/>
      <w:outlineLvl w:val="3"/>
    </w:pPr>
    <w:rPr>
      <w:rFonts w:eastAsia="Calibri"/>
      <w:color w:val="000000"/>
      <w:sz w:val="28"/>
      <w:szCs w:val="28"/>
      <w:lang w:eastAsia="en-US"/>
    </w:rPr>
  </w:style>
  <w:style w:type="paragraph" w:styleId="5">
    <w:name w:val="Heading 5"/>
    <w:basedOn w:val="Normal"/>
    <w:next w:val="Normal"/>
    <w:link w:val="51"/>
    <w:uiPriority w:val="1"/>
    <w:qFormat/>
    <w:rsid w:val="0058748a"/>
    <w:pPr>
      <w:keepNext w:val="true"/>
      <w:tabs>
        <w:tab w:val="clear" w:pos="708"/>
        <w:tab w:val="left" w:pos="426" w:leader="none"/>
      </w:tabs>
      <w:ind w:firstLine="709"/>
      <w:jc w:val="both"/>
      <w:outlineLvl w:val="4"/>
    </w:pPr>
    <w:rPr>
      <w:b/>
      <w:sz w:val="28"/>
      <w:szCs w:val="20"/>
      <w:lang w:eastAsia="en-US"/>
    </w:rPr>
  </w:style>
  <w:style w:type="paragraph" w:styleId="6">
    <w:name w:val="Heading 6"/>
    <w:basedOn w:val="Normal"/>
    <w:next w:val="Normal"/>
    <w:link w:val="61"/>
    <w:uiPriority w:val="1"/>
    <w:qFormat/>
    <w:rsid w:val="0058748a"/>
    <w:pPr>
      <w:keepNext w:val="true"/>
      <w:jc w:val="center"/>
      <w:outlineLvl w:val="5"/>
    </w:pPr>
    <w:rPr>
      <w:b/>
      <w:sz w:val="28"/>
      <w:szCs w:val="20"/>
      <w:lang w:eastAsia="en-US"/>
    </w:rPr>
  </w:style>
  <w:style w:type="paragraph" w:styleId="8">
    <w:name w:val="Heading 8"/>
    <w:basedOn w:val="Normal"/>
    <w:next w:val="Normal"/>
    <w:link w:val="81"/>
    <w:qFormat/>
    <w:rsid w:val="0058748a"/>
    <w:pPr>
      <w:keepNext w:val="true"/>
      <w:spacing w:lineRule="auto" w:line="360"/>
      <w:ind w:firstLine="709"/>
      <w:jc w:val="both"/>
      <w:outlineLvl w:val="7"/>
    </w:pPr>
    <w:rPr>
      <w:sz w:val="28"/>
    </w:rPr>
  </w:style>
  <w:style w:type="paragraph" w:styleId="9">
    <w:name w:val="Heading 9"/>
    <w:basedOn w:val="Normal"/>
    <w:next w:val="Normal"/>
    <w:link w:val="91"/>
    <w:qFormat/>
    <w:rsid w:val="0058748a"/>
    <w:pPr>
      <w:keepNext w:val="true"/>
      <w:outlineLvl w:val="8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qFormat/>
    <w:rsid w:val="0058748a"/>
    <w:rPr>
      <w:b/>
      <w:sz w:val="24"/>
    </w:rPr>
  </w:style>
  <w:style w:type="character" w:styleId="21" w:customStyle="1">
    <w:name w:val="Заголовок 2 Знак"/>
    <w:uiPriority w:val="1"/>
    <w:qFormat/>
    <w:rsid w:val="0058748a"/>
    <w:rPr>
      <w:b/>
      <w:sz w:val="24"/>
    </w:rPr>
  </w:style>
  <w:style w:type="character" w:styleId="31" w:customStyle="1">
    <w:name w:val="Заголовок 3 Знак"/>
    <w:uiPriority w:val="1"/>
    <w:qFormat/>
    <w:rsid w:val="0058748a"/>
    <w:rPr>
      <w:b/>
      <w:sz w:val="24"/>
    </w:rPr>
  </w:style>
  <w:style w:type="character" w:styleId="41" w:customStyle="1">
    <w:name w:val="Заголовок 4 Знак"/>
    <w:uiPriority w:val="1"/>
    <w:qFormat/>
    <w:rsid w:val="0058748a"/>
    <w:rPr>
      <w:rFonts w:eastAsia="Calibri"/>
      <w:color w:val="000000"/>
      <w:sz w:val="28"/>
      <w:szCs w:val="28"/>
    </w:rPr>
  </w:style>
  <w:style w:type="character" w:styleId="51" w:customStyle="1">
    <w:name w:val="Заголовок 5 Знак"/>
    <w:uiPriority w:val="1"/>
    <w:qFormat/>
    <w:rsid w:val="0058748a"/>
    <w:rPr>
      <w:b/>
      <w:sz w:val="28"/>
    </w:rPr>
  </w:style>
  <w:style w:type="character" w:styleId="61" w:customStyle="1">
    <w:name w:val="Заголовок 6 Знак"/>
    <w:uiPriority w:val="1"/>
    <w:qFormat/>
    <w:rsid w:val="0058748a"/>
    <w:rPr>
      <w:b/>
      <w:sz w:val="28"/>
    </w:rPr>
  </w:style>
  <w:style w:type="character" w:styleId="81" w:customStyle="1">
    <w:name w:val="Заголовок 8 Знак"/>
    <w:basedOn w:val="DefaultParagraphFont"/>
    <w:qFormat/>
    <w:rsid w:val="0058748a"/>
    <w:rPr>
      <w:sz w:val="28"/>
      <w:szCs w:val="24"/>
      <w:lang w:eastAsia="ru-RU"/>
    </w:rPr>
  </w:style>
  <w:style w:type="character" w:styleId="91" w:customStyle="1">
    <w:name w:val="Заголовок 9 Знак"/>
    <w:basedOn w:val="DefaultParagraphFont"/>
    <w:qFormat/>
    <w:rsid w:val="0058748a"/>
    <w:rPr>
      <w:sz w:val="28"/>
      <w:lang w:eastAsia="ru-RU"/>
    </w:rPr>
  </w:style>
  <w:style w:type="character" w:styleId="12" w:customStyle="1">
    <w:name w:val="Заголовок Знак1"/>
    <w:qFormat/>
    <w:rsid w:val="0058748a"/>
    <w:rPr>
      <w:b/>
      <w:sz w:val="32"/>
    </w:rPr>
  </w:style>
  <w:style w:type="character" w:styleId="Style6" w:customStyle="1">
    <w:name w:val="Основной текст Знак"/>
    <w:qFormat/>
    <w:rsid w:val="0058748a"/>
    <w:rPr>
      <w:sz w:val="24"/>
      <w:szCs w:val="24"/>
    </w:rPr>
  </w:style>
  <w:style w:type="character" w:styleId="Strong">
    <w:name w:val="Strong"/>
    <w:uiPriority w:val="22"/>
    <w:qFormat/>
    <w:rsid w:val="0058748a"/>
    <w:rPr>
      <w:b/>
      <w:bCs/>
    </w:rPr>
  </w:style>
  <w:style w:type="character" w:styleId="Appleconvertedspace" w:customStyle="1">
    <w:name w:val="apple-converted-space"/>
    <w:basedOn w:val="DefaultParagraphFont"/>
    <w:qFormat/>
    <w:rsid w:val="00f65ccd"/>
    <w:rPr/>
  </w:style>
  <w:style w:type="character" w:styleId="Style7">
    <w:name w:val="Интернет-ссылка"/>
    <w:basedOn w:val="DefaultParagraphFont"/>
    <w:unhideWhenUsed/>
    <w:rsid w:val="00f65ccd"/>
    <w:rPr>
      <w:color w:val="0000FF"/>
      <w:u w:val="single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0846aa"/>
    <w:rPr>
      <w:sz w:val="24"/>
      <w:szCs w:val="24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sid w:val="000846aa"/>
    <w:rPr>
      <w:sz w:val="24"/>
      <w:szCs w:val="24"/>
      <w:lang w:eastAsia="ru-RU"/>
    </w:rPr>
  </w:style>
  <w:style w:type="character" w:styleId="Style10" w:customStyle="1">
    <w:name w:val="Основной текст с отступом Знак"/>
    <w:basedOn w:val="DefaultParagraphFont"/>
    <w:uiPriority w:val="99"/>
    <w:semiHidden/>
    <w:qFormat/>
    <w:rsid w:val="00ed2b17"/>
    <w:rPr>
      <w:sz w:val="24"/>
      <w:szCs w:val="24"/>
      <w:lang w:eastAsia="ru-RU"/>
    </w:rPr>
  </w:style>
  <w:style w:type="character" w:styleId="22" w:customStyle="1">
    <w:name w:val="Основной текст с отступом 2 Знак"/>
    <w:basedOn w:val="DefaultParagraphFont"/>
    <w:link w:val="BodyTextIndent2"/>
    <w:semiHidden/>
    <w:qFormat/>
    <w:rsid w:val="00ed2b17"/>
    <w:rPr>
      <w:lang w:eastAsia="ar-SA"/>
    </w:rPr>
  </w:style>
  <w:style w:type="character" w:styleId="HTML" w:customStyle="1">
    <w:name w:val="Стандартный HTML Знак"/>
    <w:basedOn w:val="DefaultParagraphFont"/>
    <w:link w:val="HTMLPreformatted"/>
    <w:qFormat/>
    <w:rsid w:val="00ed2b17"/>
    <w:rPr>
      <w:rFonts w:ascii="Arial Unicode MS" w:hAnsi="Arial Unicode MS" w:eastAsia="Arial Unicode MS" w:cs="Arial Unicode MS"/>
      <w:lang w:eastAsia="ru-RU"/>
    </w:rPr>
  </w:style>
  <w:style w:type="character" w:styleId="Style11" w:customStyle="1">
    <w:name w:val="Заголовок Знак"/>
    <w:qFormat/>
    <w:rsid w:val="00ed2b17"/>
    <w:rPr>
      <w:rFonts w:ascii="Arial" w:hAnsi="Arial" w:eastAsia="Microsoft YaHei" w:cs="Mangal"/>
      <w:sz w:val="28"/>
      <w:szCs w:val="28"/>
      <w:lang w:eastAsia="ar-SA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db5cfa"/>
    <w:rPr>
      <w:rFonts w:ascii="Tahoma" w:hAnsi="Tahoma" w:cs="Tahoma"/>
      <w:sz w:val="16"/>
      <w:szCs w:val="16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link w:val="Style6"/>
    <w:unhideWhenUsed/>
    <w:qFormat/>
    <w:rsid w:val="0058748a"/>
    <w:pPr/>
    <w:rPr>
      <w:lang w:eastAsia="en-US"/>
    </w:rPr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TableParagraph" w:customStyle="1">
    <w:name w:val="Table Paragraph"/>
    <w:basedOn w:val="Normal"/>
    <w:uiPriority w:val="1"/>
    <w:qFormat/>
    <w:rsid w:val="0058748a"/>
    <w:pPr>
      <w:widowControl w:val="false"/>
    </w:pPr>
    <w:rPr>
      <w:rFonts w:ascii="Calibri" w:hAnsi="Calibri" w:eastAsia="Calibri"/>
      <w:sz w:val="22"/>
      <w:szCs w:val="22"/>
      <w:lang w:val="en-US" w:eastAsia="en-US"/>
    </w:rPr>
  </w:style>
  <w:style w:type="paragraph" w:styleId="13">
    <w:name w:val="TOC 1"/>
    <w:basedOn w:val="Normal"/>
    <w:uiPriority w:val="1"/>
    <w:qFormat/>
    <w:rsid w:val="0058748a"/>
    <w:pPr>
      <w:widowControl w:val="false"/>
      <w:ind w:left="101" w:hanging="0"/>
    </w:pPr>
    <w:rPr>
      <w:lang w:val="en-US" w:eastAsia="en-US"/>
    </w:rPr>
  </w:style>
  <w:style w:type="paragraph" w:styleId="23">
    <w:name w:val="TOC 2"/>
    <w:basedOn w:val="Normal"/>
    <w:uiPriority w:val="1"/>
    <w:qFormat/>
    <w:rsid w:val="0058748a"/>
    <w:pPr>
      <w:widowControl w:val="false"/>
      <w:ind w:left="101" w:hanging="0"/>
    </w:pPr>
    <w:rPr>
      <w:b/>
      <w:bCs/>
      <w:i/>
      <w:sz w:val="22"/>
      <w:szCs w:val="22"/>
      <w:lang w:val="en-US" w:eastAsia="en-US"/>
    </w:rPr>
  </w:style>
  <w:style w:type="paragraph" w:styleId="Style18">
    <w:name w:val="Title"/>
    <w:basedOn w:val="Normal"/>
    <w:link w:val="12"/>
    <w:qFormat/>
    <w:rsid w:val="0058748a"/>
    <w:pPr>
      <w:jc w:val="center"/>
    </w:pPr>
    <w:rPr>
      <w:b/>
      <w:sz w:val="3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8748a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f65ccd"/>
    <w:pPr>
      <w:spacing w:beforeAutospacing="1" w:afterAutospacing="1"/>
    </w:pPr>
    <w:rPr/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8"/>
    <w:uiPriority w:val="99"/>
    <w:unhideWhenUsed/>
    <w:rsid w:val="000846a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Style9"/>
    <w:uiPriority w:val="99"/>
    <w:unhideWhenUsed/>
    <w:rsid w:val="000846a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Body Text Indent"/>
    <w:basedOn w:val="Normal"/>
    <w:link w:val="Style10"/>
    <w:uiPriority w:val="99"/>
    <w:semiHidden/>
    <w:unhideWhenUsed/>
    <w:rsid w:val="00ed2b17"/>
    <w:pPr>
      <w:ind w:left="283" w:hanging="0"/>
    </w:pPr>
    <w:rPr/>
  </w:style>
  <w:style w:type="paragraph" w:styleId="14" w:customStyle="1">
    <w:name w:val="Цитата1"/>
    <w:basedOn w:val="Normal"/>
    <w:qFormat/>
    <w:rsid w:val="00ed2b17"/>
    <w:pPr>
      <w:suppressAutoHyphens w:val="true"/>
      <w:ind w:left="189" w:right="209" w:hanging="0"/>
      <w:jc w:val="center"/>
    </w:pPr>
    <w:rPr>
      <w:sz w:val="32"/>
      <w:szCs w:val="20"/>
      <w:lang w:eastAsia="ar-SA"/>
    </w:rPr>
  </w:style>
  <w:style w:type="paragraph" w:styleId="211" w:customStyle="1">
    <w:name w:val="Основной текст с отступом 21"/>
    <w:basedOn w:val="Normal"/>
    <w:qFormat/>
    <w:rsid w:val="00ed2b17"/>
    <w:pPr>
      <w:suppressAutoHyphens w:val="true"/>
      <w:ind w:firstLine="284"/>
    </w:pPr>
    <w:rPr>
      <w:sz w:val="20"/>
      <w:szCs w:val="20"/>
      <w:lang w:eastAsia="ar-SA"/>
    </w:rPr>
  </w:style>
  <w:style w:type="paragraph" w:styleId="BodyTextIndent2">
    <w:name w:val="Body Text Indent 2"/>
    <w:basedOn w:val="Normal"/>
    <w:link w:val="22"/>
    <w:semiHidden/>
    <w:qFormat/>
    <w:rsid w:val="00ed2b17"/>
    <w:pPr>
      <w:suppressAutoHyphens w:val="true"/>
      <w:spacing w:lineRule="auto" w:line="480"/>
      <w:ind w:left="283" w:hanging="0"/>
    </w:pPr>
    <w:rPr>
      <w:sz w:val="20"/>
      <w:szCs w:val="20"/>
      <w:lang w:eastAsia="ar-SA"/>
    </w:rPr>
  </w:style>
  <w:style w:type="paragraph" w:styleId="HTMLPreformatted">
    <w:name w:val="HTML Preformatted"/>
    <w:basedOn w:val="Normal"/>
    <w:link w:val="HTML"/>
    <w:qFormat/>
    <w:rsid w:val="00ed2b17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db5cf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46f40"/>
    <w:rPr>
      <w:rFonts w:asciiTheme="minorHAnsi" w:hAnsiTheme="minorHAnsi" w:eastAsiaTheme="minorEastAsia" w:cstheme="minorBidi"/>
      <w:lang w:eastAsia="ru-RU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59"/>
    <w:rsid w:val="00e46f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tlconf@rgups.ru" TargetMode="Externa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mailto:petrov@rgups.ru" TargetMode="External"/><Relationship Id="rId8" Type="http://schemas.openxmlformats.org/officeDocument/2006/relationships/hyperlink" Target="mailto:petrov@rgups.ru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3D59-1106-4C0A-AE81-311BD5A2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LibreOffice/7.3.7.2$Linux_X86_64 LibreOffice_project/30$Build-2</Application>
  <AppVersion>15.0000</AppVersion>
  <Pages>7</Pages>
  <Words>1447</Words>
  <Characters>10212</Characters>
  <CharactersWithSpaces>11531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2025-11-10T14:43:00Z</dcterms:created>
  <dc:creator>Мой компьютер</dc:creator>
  <dc:description/>
  <dc:language>ru-RU</dc:language>
  <cp:lastModifiedBy>RGUPS</cp:lastModifiedBy>
  <cp:lastPrinted>2025-11-11T08:19:00Z</cp:lastPrinted>
  <dcterms:modified xsi:type="dcterms:W3CDTF">2025-11-11T10:00:00Z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