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Pr="000F6E85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ge">
              <wp:posOffset>435610</wp:posOffset>
            </wp:positionV>
            <wp:extent cx="6300000" cy="842629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Pr="000F6E85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EE567F" w:rsidRPr="000F6E85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>Приложение</w:t>
      </w:r>
    </w:p>
    <w:p w:rsidR="00EE567F" w:rsidRPr="000F6E85" w:rsidRDefault="00EE567F" w:rsidP="00EE567F">
      <w:pPr>
        <w:spacing w:after="5" w:line="266" w:lineRule="auto"/>
        <w:ind w:left="10" w:right="-20" w:hanging="10"/>
        <w:jc w:val="right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 xml:space="preserve">             к рабочей программе дисциплины </w:t>
      </w:r>
    </w:p>
    <w:p w:rsidR="00EE567F" w:rsidRPr="000F6E85" w:rsidRDefault="00EE567F" w:rsidP="00EE567F">
      <w:pPr>
        <w:spacing w:after="268"/>
        <w:ind w:right="-20"/>
        <w:rPr>
          <w:rFonts w:ascii="Times New Roman" w:hAnsi="Times New Roman" w:cs="Times New Roman"/>
          <w:sz w:val="24"/>
          <w:szCs w:val="24"/>
        </w:rPr>
      </w:pPr>
    </w:p>
    <w:p w:rsidR="00EE567F" w:rsidRPr="000F6E85" w:rsidRDefault="00EE567F" w:rsidP="00EE567F">
      <w:pPr>
        <w:spacing w:after="268"/>
        <w:ind w:right="-20"/>
        <w:rPr>
          <w:rFonts w:ascii="Times New Roman" w:hAnsi="Times New Roman" w:cs="Times New Roman"/>
          <w:sz w:val="24"/>
          <w:szCs w:val="24"/>
        </w:rPr>
      </w:pPr>
    </w:p>
    <w:p w:rsidR="00EE567F" w:rsidRPr="000F6E85" w:rsidRDefault="00EE567F" w:rsidP="00EE567F">
      <w:pPr>
        <w:spacing w:after="268"/>
        <w:ind w:right="-20"/>
        <w:rPr>
          <w:rFonts w:ascii="Times New Roman" w:hAnsi="Times New Roman" w:cs="Times New Roman"/>
          <w:sz w:val="24"/>
          <w:szCs w:val="24"/>
        </w:rPr>
      </w:pPr>
    </w:p>
    <w:p w:rsidR="00EE567F" w:rsidRPr="000F6E85" w:rsidRDefault="00EE567F" w:rsidP="00EE567F">
      <w:pPr>
        <w:spacing w:after="268"/>
        <w:ind w:right="-20"/>
        <w:rPr>
          <w:rFonts w:ascii="Times New Roman" w:hAnsi="Times New Roman" w:cs="Times New Roman"/>
          <w:sz w:val="24"/>
          <w:szCs w:val="24"/>
        </w:rPr>
      </w:pPr>
    </w:p>
    <w:p w:rsidR="00CF1A5A" w:rsidRPr="000F6E85" w:rsidRDefault="00AA4D86" w:rsidP="00CF1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85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  <w:r w:rsidR="00CF1A5A" w:rsidRPr="000F6E85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85">
        <w:rPr>
          <w:rFonts w:ascii="Times New Roman" w:hAnsi="Times New Roman" w:cs="Times New Roman"/>
          <w:b/>
          <w:sz w:val="24"/>
          <w:szCs w:val="24"/>
        </w:rPr>
        <w:t>ПО ДИСЦИПЛИНЕ (МОДУЛЮ)</w:t>
      </w:r>
    </w:p>
    <w:p w:rsidR="009730DC" w:rsidRPr="000F6E85" w:rsidRDefault="009730DC" w:rsidP="00CF1A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5A" w:rsidRPr="00695C49" w:rsidRDefault="008A094E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C49">
        <w:rPr>
          <w:rFonts w:ascii="Times New Roman" w:hAnsi="Times New Roman" w:cs="Times New Roman"/>
          <w:b/>
          <w:sz w:val="32"/>
          <w:szCs w:val="32"/>
        </w:rPr>
        <w:t>Теория вероятностей и математическая статистика</w:t>
      </w:r>
    </w:p>
    <w:p w:rsidR="00CF1A5A" w:rsidRPr="000F6E85" w:rsidRDefault="00CF1A5A" w:rsidP="00CF1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8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AA4D86" w:rsidRPr="000F6E8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0F6E8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CF1A5A" w:rsidRPr="000F6E85" w:rsidRDefault="00CF1A5A" w:rsidP="00CF1A5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6E85">
        <w:rPr>
          <w:rFonts w:ascii="Times New Roman" w:hAnsi="Times New Roman" w:cs="Times New Roman"/>
          <w:i/>
          <w:iCs/>
          <w:sz w:val="24"/>
          <w:szCs w:val="24"/>
        </w:rPr>
        <w:t>(наименование дисциплины(модуля)</w:t>
      </w:r>
    </w:p>
    <w:p w:rsidR="00CF1A5A" w:rsidRPr="000F6E85" w:rsidRDefault="00CF1A5A" w:rsidP="00CF1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A5A" w:rsidRPr="008671B0" w:rsidRDefault="00EB74C1" w:rsidP="00CF1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1B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09.03.01 Информатика и вычислительная техника</w:t>
      </w:r>
    </w:p>
    <w:p w:rsidR="00CF1A5A" w:rsidRPr="000F6E85" w:rsidRDefault="008671B0" w:rsidP="00CF1A5A">
      <w:pPr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F6E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CF1A5A" w:rsidRPr="000F6E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(код и наименование)</w:t>
      </w:r>
    </w:p>
    <w:p w:rsidR="00695C49" w:rsidRPr="008671B0" w:rsidRDefault="00EB74C1" w:rsidP="00CF1A5A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671B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Проектирование АСОИУ на транспорте</w:t>
      </w:r>
    </w:p>
    <w:p w:rsidR="00CF1A5A" w:rsidRPr="000F6E85" w:rsidRDefault="008671B0" w:rsidP="00CF1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CF1A5A" w:rsidRPr="000F6E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(наименование)</w:t>
      </w:r>
    </w:p>
    <w:p w:rsidR="00EE567F" w:rsidRPr="000F6E85" w:rsidRDefault="00EE567F" w:rsidP="00EE567F">
      <w:pPr>
        <w:jc w:val="both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E567F" w:rsidRPr="000F6E85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0F6E85" w:rsidRDefault="00EA0440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E85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0F6E8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0F6E85" w:rsidRDefault="00EE567F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E85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0F6E85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0F6E85" w:rsidRDefault="007D68E0" w:rsidP="00506D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6E85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0F6E85">
        <w:rPr>
          <w:rFonts w:ascii="Times New Roman" w:hAnsi="Times New Roman"/>
          <w:color w:val="000000"/>
          <w:sz w:val="24"/>
          <w:szCs w:val="24"/>
        </w:rPr>
        <w:t>.</w:t>
      </w:r>
    </w:p>
    <w:p w:rsidR="0061764B" w:rsidRPr="000F6E85" w:rsidRDefault="006176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E567F" w:rsidRPr="000F6E85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0F6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0F6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0F6E85" w:rsidRDefault="00CF1A5A" w:rsidP="00CF1A5A">
      <w:pPr>
        <w:pStyle w:val="s1"/>
        <w:jc w:val="both"/>
      </w:pPr>
      <w:r w:rsidRPr="000F6E85">
        <w:tab/>
      </w:r>
      <w:r w:rsidR="002C5147" w:rsidRPr="000F6E85">
        <w:t xml:space="preserve">Цель промежуточной аттестации– </w:t>
      </w:r>
      <w:r w:rsidR="00D90422" w:rsidRPr="000F6E85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0B3497" w:rsidRPr="000F6E85" w:rsidRDefault="000B3497" w:rsidP="00415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E15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с </w:t>
      </w:r>
      <w:proofErr w:type="gramStart"/>
      <w:r w:rsidR="00E15FF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оценкой</w:t>
      </w:r>
      <w:r w:rsidR="00EB74C1"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EB74C1"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61D2A"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</w:t>
      </w:r>
      <w:r w:rsidR="00482210"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422" w:rsidRPr="000F6E85" w:rsidRDefault="00D90422" w:rsidP="002C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422" w:rsidRPr="000F6E85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EE3C25" w:rsidRPr="000F6E85" w:rsidRDefault="00EE3C25" w:rsidP="00AB3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0"/>
        <w:gridCol w:w="3409"/>
      </w:tblGrid>
      <w:tr w:rsidR="009730DC" w:rsidRPr="000F6E85" w:rsidTr="009730DC">
        <w:trPr>
          <w:trHeight w:val="493"/>
        </w:trPr>
        <w:tc>
          <w:tcPr>
            <w:tcW w:w="7080" w:type="dxa"/>
          </w:tcPr>
          <w:p w:rsidR="009730DC" w:rsidRPr="000F6E85" w:rsidRDefault="009730DC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409" w:type="dxa"/>
          </w:tcPr>
          <w:p w:rsidR="009730DC" w:rsidRPr="000F6E85" w:rsidRDefault="009730DC" w:rsidP="009730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C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</w:tr>
      <w:tr w:rsidR="009730DC" w:rsidRPr="000F6E85" w:rsidTr="009730DC">
        <w:trPr>
          <w:trHeight w:val="310"/>
        </w:trPr>
        <w:tc>
          <w:tcPr>
            <w:tcW w:w="7080" w:type="dxa"/>
          </w:tcPr>
          <w:p w:rsidR="009730DC" w:rsidRPr="000F6E85" w:rsidRDefault="009730DC" w:rsidP="00AB34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3409" w:type="dxa"/>
          </w:tcPr>
          <w:p w:rsidR="009730DC" w:rsidRPr="009730DC" w:rsidRDefault="009730DC" w:rsidP="00AB34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DC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</w:tr>
    </w:tbl>
    <w:p w:rsidR="007419C7" w:rsidRPr="000F6E85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D86" w:rsidRPr="000F6E85" w:rsidRDefault="00AA4D86" w:rsidP="00AB3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>Результаты обучения по дисциплине, соотнесенные с планируемыми</w:t>
      </w:r>
    </w:p>
    <w:p w:rsidR="00AA4D86" w:rsidRPr="000F6E85" w:rsidRDefault="00AA4D86" w:rsidP="00AB3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>результатами освоения образовательной программы</w:t>
      </w:r>
    </w:p>
    <w:p w:rsidR="007419C7" w:rsidRPr="000F6E85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A69" w:rsidRPr="000F6E85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0F6E85" w:rsidTr="00CF1A5A">
        <w:tc>
          <w:tcPr>
            <w:tcW w:w="3685" w:type="dxa"/>
          </w:tcPr>
          <w:p w:rsidR="00AF1A69" w:rsidRPr="000F6E85" w:rsidRDefault="000F6E85" w:rsidP="00CF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358580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820" w:type="dxa"/>
          </w:tcPr>
          <w:p w:rsidR="00AF1A69" w:rsidRPr="000F6E85" w:rsidRDefault="00CF0A07" w:rsidP="00CF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1A69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обучения 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</w:tc>
        <w:tc>
          <w:tcPr>
            <w:tcW w:w="1914" w:type="dxa"/>
          </w:tcPr>
          <w:p w:rsidR="00AF1A69" w:rsidRPr="000F6E85" w:rsidRDefault="007A78EC" w:rsidP="00E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A69" w:rsidRPr="000F6E85">
              <w:rPr>
                <w:rFonts w:ascii="Times New Roman" w:hAnsi="Times New Roman" w:cs="Times New Roman"/>
                <w:sz w:val="24"/>
                <w:szCs w:val="24"/>
              </w:rPr>
              <w:t>ценочны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A69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002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A07" w:rsidRPr="000F6E85" w:rsidTr="00CF1A5A">
        <w:tc>
          <w:tcPr>
            <w:tcW w:w="3685" w:type="dxa"/>
            <w:vMerge w:val="restart"/>
          </w:tcPr>
          <w:p w:rsidR="00CF0A07" w:rsidRPr="000F6E85" w:rsidRDefault="00EB74C1" w:rsidP="005E2407">
            <w:pPr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4820" w:type="dxa"/>
          </w:tcPr>
          <w:p w:rsidR="00CF0A07" w:rsidRPr="000F6E85" w:rsidRDefault="00CF0A07" w:rsidP="00CF1A5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знает:</w:t>
            </w:r>
          </w:p>
          <w:p w:rsidR="00717953" w:rsidRPr="000F6E85" w:rsidRDefault="00EB74C1" w:rsidP="005E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теории вероятностей и математической статистики</w:t>
            </w:r>
          </w:p>
        </w:tc>
        <w:tc>
          <w:tcPr>
            <w:tcW w:w="1914" w:type="dxa"/>
          </w:tcPr>
          <w:p w:rsidR="00CF0A07" w:rsidRPr="000F6E85" w:rsidRDefault="00CF0A07" w:rsidP="00AB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07" w:rsidRPr="000F6E85" w:rsidRDefault="00CF0A07" w:rsidP="00AB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AB34EB" w:rsidRPr="000F6E85" w:rsidRDefault="00AB34EB" w:rsidP="00AB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(№1-- №10)</w:t>
            </w:r>
          </w:p>
          <w:p w:rsidR="00CF1A5A" w:rsidRPr="000F6E85" w:rsidRDefault="00CF1A5A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B0" w:rsidRPr="000F6E85" w:rsidTr="00CF1A5A">
        <w:tc>
          <w:tcPr>
            <w:tcW w:w="3685" w:type="dxa"/>
            <w:vMerge/>
          </w:tcPr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умеет:</w:t>
            </w:r>
          </w:p>
          <w:p w:rsidR="004159B0" w:rsidRPr="000F6E85" w:rsidRDefault="00EB74C1" w:rsidP="0041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 профессиональные</w:t>
            </w:r>
            <w:proofErr w:type="gram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применением методов теории вероятностей и математической статистики</w:t>
            </w:r>
            <w:r w:rsidR="004159B0"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14" w:type="dxa"/>
          </w:tcPr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EB74C1" w:rsidRPr="000F6E85">
              <w:rPr>
                <w:rFonts w:ascii="Times New Roman" w:hAnsi="Times New Roman" w:cs="Times New Roman"/>
                <w:sz w:val="24"/>
                <w:szCs w:val="24"/>
              </w:rPr>
              <w:t>11-- №1</w:t>
            </w:r>
            <w:r w:rsidR="0087163C" w:rsidRPr="000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9B0" w:rsidRPr="000F6E85" w:rsidTr="00CF1A5A">
        <w:tc>
          <w:tcPr>
            <w:tcW w:w="3685" w:type="dxa"/>
            <w:vMerge/>
          </w:tcPr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9B0" w:rsidRPr="000F6E85" w:rsidRDefault="004159B0" w:rsidP="004159B0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владеет:</w:t>
            </w:r>
          </w:p>
          <w:p w:rsidR="004159B0" w:rsidRPr="000F6E85" w:rsidRDefault="00EB74C1" w:rsidP="00EB74C1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математической обработки </w:t>
            </w:r>
            <w:proofErr w:type="spell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эксперементальных</w:t>
            </w:r>
            <w:proofErr w:type="spell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</w:t>
            </w:r>
            <w:proofErr w:type="gram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содержательной</w:t>
            </w:r>
            <w:proofErr w:type="gram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интерпретации полученных результатов</w:t>
            </w:r>
            <w:r w:rsidR="004159B0"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59B0" w:rsidRPr="000F6E85" w:rsidRDefault="004159B0" w:rsidP="0041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159B0" w:rsidRPr="000F6E85" w:rsidRDefault="00EB74C1" w:rsidP="00EB7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(№14-- №16</w:t>
            </w:r>
            <w:r w:rsidR="004159B0" w:rsidRPr="000F6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</w:tbl>
    <w:p w:rsidR="007419C7" w:rsidRPr="000F6E85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47" w:rsidRPr="000F6E85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5A4" w:rsidRPr="000F6E85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(экзамен) </w:t>
      </w:r>
      <w:r w:rsidR="0035020D" w:rsidRPr="000F6E85">
        <w:rPr>
          <w:rFonts w:ascii="Times New Roman" w:eastAsia="Times New Roman" w:hAnsi="Times New Roman" w:cs="Times New Roman"/>
          <w:sz w:val="24"/>
          <w:szCs w:val="24"/>
        </w:rPr>
        <w:t>проводится в одной из следующих форм</w:t>
      </w:r>
      <w:r w:rsidR="00F545A4" w:rsidRPr="000F6E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545A4" w:rsidRPr="000F6E85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>1)</w:t>
      </w:r>
      <w:r w:rsidR="00F545A4" w:rsidRPr="000F6E85">
        <w:rPr>
          <w:rFonts w:ascii="Times New Roman" w:eastAsia="Times New Roman" w:hAnsi="Times New Roman" w:cs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0F6E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5A4" w:rsidRPr="000F6E85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545A4" w:rsidRPr="000F6E85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заданий в ЭИОС </w:t>
      </w:r>
      <w:proofErr w:type="spellStart"/>
      <w:r w:rsidR="00F545A4" w:rsidRPr="000F6E85">
        <w:rPr>
          <w:rFonts w:ascii="Times New Roman" w:eastAsia="Times New Roman" w:hAnsi="Times New Roman" w:cs="Times New Roman"/>
          <w:sz w:val="24"/>
          <w:szCs w:val="24"/>
        </w:rPr>
        <w:t>СамГУПС</w:t>
      </w:r>
      <w:proofErr w:type="spellEnd"/>
      <w:r w:rsidR="00F545A4" w:rsidRPr="000F6E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3E1" w:rsidRPr="000F6E85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3E1" w:rsidRPr="000F6E85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(зачет) </w:t>
      </w:r>
      <w:r w:rsidR="0035020D" w:rsidRPr="000F6E85">
        <w:rPr>
          <w:rFonts w:ascii="Times New Roman" w:eastAsia="Times New Roman" w:hAnsi="Times New Roman" w:cs="Times New Roman"/>
          <w:sz w:val="24"/>
          <w:szCs w:val="24"/>
        </w:rPr>
        <w:t>проводится в одной из следующих форм</w:t>
      </w:r>
      <w:r w:rsidRPr="000F6E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53E1" w:rsidRPr="000F6E85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>1) собеседование;</w:t>
      </w:r>
    </w:p>
    <w:p w:rsidR="00EB53E1" w:rsidRPr="000F6E85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sz w:val="24"/>
          <w:szCs w:val="24"/>
        </w:rPr>
        <w:t xml:space="preserve">2) выполнение заданий в ЭИОС </w:t>
      </w:r>
      <w:proofErr w:type="spellStart"/>
      <w:r w:rsidRPr="000F6E85">
        <w:rPr>
          <w:rFonts w:ascii="Times New Roman" w:eastAsia="Times New Roman" w:hAnsi="Times New Roman" w:cs="Times New Roman"/>
          <w:sz w:val="24"/>
          <w:szCs w:val="24"/>
        </w:rPr>
        <w:t>СамГУПС</w:t>
      </w:r>
      <w:proofErr w:type="spellEnd"/>
      <w:r w:rsidRPr="000F6E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1C5" w:rsidRPr="000F6E85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</w:pP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Типовые</w:t>
      </w:r>
      <w:r w:rsidR="00544B2D" w:rsidRPr="000F6E85">
        <w:rPr>
          <w:rStyle w:val="ad"/>
          <w:rFonts w:ascii="Times New Roman" w:eastAsia="Times New Roman" w:hAnsi="Times New Roman" w:cs="Times New Roman"/>
          <w:b/>
          <w:bCs/>
          <w:iCs/>
          <w:sz w:val="24"/>
          <w:szCs w:val="24"/>
        </w:rPr>
        <w:footnoteReference w:id="2"/>
      </w: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уровень сформированности </w:t>
      </w: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компетенци</w:t>
      </w:r>
      <w:r w:rsidR="00560597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</w:p>
    <w:p w:rsidR="00560597" w:rsidRPr="000F6E85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2.1 </w:t>
      </w:r>
      <w:r w:rsidR="00E55110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Типовые вопросы</w:t>
      </w: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</w:t>
      </w:r>
      <w:proofErr w:type="spellStart"/>
      <w:r w:rsidR="00DB4A30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оценки</w:t>
      </w:r>
      <w:r w:rsidR="002103AC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0F6E85" w:rsidRDefault="00560597" w:rsidP="00560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459F1" w:rsidRPr="000F6E85" w:rsidRDefault="006459F1" w:rsidP="00FF23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0F6E85" w:rsidTr="006459F1">
        <w:tc>
          <w:tcPr>
            <w:tcW w:w="3018" w:type="dxa"/>
          </w:tcPr>
          <w:p w:rsidR="009B4FAE" w:rsidRPr="000F6E85" w:rsidRDefault="00560597" w:rsidP="00FF23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4E1E0D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F6E85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достижения </w:t>
            </w:r>
            <w:r w:rsidR="004E1E0D" w:rsidRPr="000F6E8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79" w:type="dxa"/>
          </w:tcPr>
          <w:p w:rsidR="009B4FAE" w:rsidRPr="000F6E85" w:rsidRDefault="00560597" w:rsidP="00FF23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560597" w:rsidRPr="000F6E85" w:rsidTr="006459F1">
        <w:tc>
          <w:tcPr>
            <w:tcW w:w="3018" w:type="dxa"/>
          </w:tcPr>
          <w:p w:rsidR="00560597" w:rsidRPr="000F6E85" w:rsidRDefault="00EB74C1" w:rsidP="00FF231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579" w:type="dxa"/>
          </w:tcPr>
          <w:p w:rsidR="00E54A07" w:rsidRPr="000F6E85" w:rsidRDefault="00560597" w:rsidP="00FF231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Обучающийся знает:</w:t>
            </w:r>
          </w:p>
          <w:p w:rsidR="00560597" w:rsidRPr="000F6E85" w:rsidRDefault="00EB74C1" w:rsidP="00FF23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теории вероятностей и математической статистики</w:t>
            </w:r>
          </w:p>
        </w:tc>
      </w:tr>
      <w:tr w:rsidR="002103AC" w:rsidRPr="000F6E85" w:rsidTr="002E279F">
        <w:trPr>
          <w:trHeight w:val="742"/>
        </w:trPr>
        <w:tc>
          <w:tcPr>
            <w:tcW w:w="10597" w:type="dxa"/>
            <w:gridSpan w:val="2"/>
          </w:tcPr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1. Вероятность полной группы элементарных событий равна:                                           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1)0                                2)0,2                                                3)0,5      4)1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2.Два стрелка стреляют по мишени. Вероятность попадания в цель у одного стрелка 0,8, у другого-0,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7.Найти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того, что цель не будет поражена ни одной пулей.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 1)0,56    2)0,06      3)0,02    4)0,94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3. Если события А и В никогда не могут произойти в результате одного испытания, то их называют:    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1) сложными             2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)  невозможными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  3)  несовместными  4)  противоположными                                                                  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4. Если 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события  А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и  В  могут произойти в результате одного испытания, то их  называют: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1) простыми                                                                                                                          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2)совместными</w:t>
            </w:r>
            <w:proofErr w:type="gramEnd"/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3)элементарными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4)возможными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5. Отношение числа благоприятных для события А элементарных событий к общему числу элементарных событий называют: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1) вероятностью события А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2) плотностью вероятности события А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3) относительной частотой наступления события А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4) достоверностью события А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6. Что вычисляют по формуле 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n!/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k!(n-k)!: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1) вероятность наступления k событий из n возможных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2) относительную частоту появления k событий из n возможных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3) число сочетаний из n элементов по k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4) эн факториал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7.Укажи общее число способов, которыми можно вынуть два шара из четырех, находящихся в урне: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 1)2            2)4               3)6        4)8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8. Пусть в урне находятся 6 шаров, из которых 4 белые. Найди вероятность 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того,  что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среди случайно выбранных 3 шаров 2 будут белыми:                                              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1)0,4               2)0,5                      3)0,6                   4)0,7      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9. Вероятность Р появления хотя бы одного из двух совместных событий А и В равна: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1) Р(А) + Р(В)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2) Р(А) + Р(В) - Р(АВ)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3) Р(А)*Р(В/</w:t>
            </w:r>
            <w:r w:rsidRPr="000F6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4) Р(А)*Р(В)                                                    </w:t>
            </w:r>
          </w:p>
          <w:p w:rsidR="008A5714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10.Случайная величина </w:t>
            </w:r>
            <w:r w:rsidRPr="000F6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значения 0,1,2,3,4 с равными вероятностями. Найти </w:t>
            </w:r>
            <w:proofErr w:type="gramStart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М( </w:t>
            </w:r>
            <w:r w:rsidRPr="000F6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03AC" w:rsidRPr="000F6E85" w:rsidRDefault="008A5714" w:rsidP="00FF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      1)0,2      2)2       3)5          4)0,9</w:t>
            </w:r>
          </w:p>
        </w:tc>
      </w:tr>
    </w:tbl>
    <w:p w:rsidR="00FB6084" w:rsidRPr="000F6E85" w:rsidRDefault="00FB6084" w:rsidP="00FF23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5B55" w:rsidRPr="000F6E85" w:rsidRDefault="00995B55" w:rsidP="00FF23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навыкового</w:t>
      </w:r>
      <w:proofErr w:type="spellEnd"/>
      <w:r w:rsidRPr="000F6E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386731" w:rsidRPr="000F6E85" w:rsidRDefault="00386731" w:rsidP="00FF23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0F6E85" w:rsidTr="00E17522">
        <w:tc>
          <w:tcPr>
            <w:tcW w:w="2910" w:type="dxa"/>
          </w:tcPr>
          <w:p w:rsidR="002103AC" w:rsidRPr="000F6E85" w:rsidRDefault="000F6E85" w:rsidP="00FF23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 достижения компетенции</w:t>
            </w:r>
          </w:p>
        </w:tc>
        <w:tc>
          <w:tcPr>
            <w:tcW w:w="7722" w:type="dxa"/>
          </w:tcPr>
          <w:p w:rsidR="002103AC" w:rsidRPr="000F6E85" w:rsidRDefault="002103AC" w:rsidP="00FF23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Образовательный результат</w:t>
            </w:r>
          </w:p>
        </w:tc>
      </w:tr>
      <w:tr w:rsidR="002103AC" w:rsidRPr="000F6E85" w:rsidTr="00E17522">
        <w:tc>
          <w:tcPr>
            <w:tcW w:w="2910" w:type="dxa"/>
          </w:tcPr>
          <w:p w:rsidR="002103AC" w:rsidRPr="000F6E85" w:rsidRDefault="00EB74C1" w:rsidP="00FF231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722" w:type="dxa"/>
          </w:tcPr>
          <w:p w:rsidR="00E54A07" w:rsidRPr="000F6E85" w:rsidRDefault="002103AC" w:rsidP="00FF2313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Обучающийся </w:t>
            </w:r>
            <w:r w:rsidR="00995B55"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умеет</w:t>
            </w: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E1E0D" w:rsidRPr="000F6E85" w:rsidRDefault="00EB74C1" w:rsidP="00FF2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 профессиональные</w:t>
            </w:r>
            <w:proofErr w:type="gram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применением методов теории вероятностей и математической статистики </w:t>
            </w:r>
            <w:r w:rsidR="004159B0"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1E0D" w:rsidRPr="000F6E85" w:rsidRDefault="004E1E0D" w:rsidP="00FF2313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2103AC" w:rsidRPr="000F6E85" w:rsidRDefault="002103AC" w:rsidP="00FF23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AC" w:rsidRPr="000F6E85" w:rsidTr="00E54A07">
        <w:trPr>
          <w:trHeight w:val="558"/>
        </w:trPr>
        <w:tc>
          <w:tcPr>
            <w:tcW w:w="10632" w:type="dxa"/>
            <w:gridSpan w:val="2"/>
          </w:tcPr>
          <w:p w:rsidR="002103AC" w:rsidRPr="000F6E85" w:rsidRDefault="00EB74C1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87163C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="00D75CCD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Погрешность измерения прибора распределена равномерно на интервале [5;10]. Найти вероятность того, что погрешность прибора не превышает 7 ед. Вычислить погрешность измерения, вероятность которой равна 0,95. вычислить вероятность того, что погрешность измерения будет находиться в интервале (6;8) ед.</w:t>
            </w:r>
          </w:p>
          <w:p w:rsidR="0087163C" w:rsidRPr="000F6E85" w:rsidRDefault="00EB74C1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="0087163C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D75CCD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Вероятность безотказной работы изделия равна 0,95. Вычислить вероятность </w:t>
            </w:r>
            <w:r w:rsidR="000D1E67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того, что для получения одного отказа необходимо испытать выборку изделий из 10 приборов. Вычислить вероятность того, что для получения первого</w:t>
            </w:r>
            <w:r w:rsidR="00FF2313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D1E67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отказа понадобиться испытать не более 5 приборов.</w:t>
            </w:r>
          </w:p>
          <w:p w:rsidR="0087163C" w:rsidRPr="000F6E85" w:rsidRDefault="00EB74C1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87163C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="000D1E67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результате испытаний пяти выборок приборов объемом </w:t>
            </w:r>
            <w:r w:rsidR="000D1E67" w:rsidRPr="000F6E8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</w:t>
            </w:r>
            <w:r w:rsidR="000D1E67"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=8 каждая, изготовленных разными заводами, получены следующие значения долговечности приборов (Ч):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1</w:t>
            </w:r>
            <w:proofErr w:type="spell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: 11   14   18   21   30   32   40   45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2</w:t>
            </w:r>
            <w:proofErr w:type="spell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15   19    </w:t>
            </w:r>
            <w:proofErr w:type="gram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21  22</w:t>
            </w:r>
            <w:proofErr w:type="gram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26   38   41   52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3</w:t>
            </w:r>
            <w:proofErr w:type="spell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: 8     11   14   19   31   32   44   58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4</w:t>
            </w:r>
            <w:proofErr w:type="spellStart"/>
            <w:proofErr w:type="gram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  </w:t>
            </w:r>
            <w:proofErr w:type="gram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4    5    9     18   24   31   45   61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5</w:t>
            </w:r>
            <w:proofErr w:type="spellStart"/>
            <w:proofErr w:type="gramStart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:  24</w:t>
            </w:r>
            <w:proofErr w:type="gramEnd"/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26  32     48  54   62    66  70</w:t>
            </w:r>
          </w:p>
          <w:p w:rsidR="000D1E67" w:rsidRPr="000F6E85" w:rsidRDefault="000D1E67" w:rsidP="00FF2313">
            <w:pPr>
              <w:pStyle w:val="a6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Проверить гипотезу равенства средних при доверительной вероятности </w:t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sym w:font="Symbol" w:char="F061"/>
            </w:r>
            <w:r w:rsidRPr="000F6E85">
              <w:rPr>
                <w:rFonts w:ascii="Times New Roman" w:hAnsi="Times New Roman"/>
                <w:bCs/>
                <w:iCs/>
                <w:sz w:val="24"/>
                <w:szCs w:val="24"/>
              </w:rPr>
              <w:t>=0,95.</w:t>
            </w:r>
          </w:p>
          <w:p w:rsidR="00D75CCD" w:rsidRPr="000F6E85" w:rsidRDefault="00D75CCD" w:rsidP="00FF2313">
            <w:pPr>
              <w:pStyle w:val="a6"/>
              <w:ind w:left="0"/>
              <w:rPr>
                <w:rFonts w:ascii="Times New Roman" w:hAnsi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</w:tr>
      <w:tr w:rsidR="00995B55" w:rsidRPr="000F6E85" w:rsidTr="008B4342">
        <w:trPr>
          <w:trHeight w:val="478"/>
        </w:trPr>
        <w:tc>
          <w:tcPr>
            <w:tcW w:w="2910" w:type="dxa"/>
          </w:tcPr>
          <w:p w:rsidR="00995B55" w:rsidRPr="000F6E85" w:rsidRDefault="00EB74C1" w:rsidP="00FF231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Применяет методы высшей математики для решения задач профессиональной деятельности</w:t>
            </w:r>
          </w:p>
        </w:tc>
        <w:tc>
          <w:tcPr>
            <w:tcW w:w="7722" w:type="dxa"/>
          </w:tcPr>
          <w:p w:rsidR="004E1E0D" w:rsidRPr="000F6E85" w:rsidRDefault="00995B55" w:rsidP="00FF2313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Обучающийся </w:t>
            </w:r>
            <w:r w:rsidR="008B4342"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владеет</w:t>
            </w:r>
            <w:r w:rsidRPr="000F6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159B0" w:rsidRPr="000F6E85" w:rsidRDefault="00EB74C1" w:rsidP="00FF2313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математической обработки </w:t>
            </w:r>
            <w:proofErr w:type="spell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эксперементальных</w:t>
            </w:r>
            <w:proofErr w:type="spell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</w:t>
            </w:r>
            <w:proofErr w:type="gramStart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содержательной</w:t>
            </w:r>
            <w:proofErr w:type="gramEnd"/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интерпретации полученных результатов </w:t>
            </w:r>
            <w:r w:rsidR="004159B0"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2407" w:rsidRPr="000F6E85" w:rsidRDefault="005E2407" w:rsidP="00FF2313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5B55" w:rsidRPr="000F6E85" w:rsidRDefault="00995B55" w:rsidP="00FF231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159B0" w:rsidRPr="000F6E85" w:rsidTr="00344BB2">
        <w:trPr>
          <w:trHeight w:val="478"/>
        </w:trPr>
        <w:tc>
          <w:tcPr>
            <w:tcW w:w="10632" w:type="dxa"/>
            <w:gridSpan w:val="2"/>
          </w:tcPr>
          <w:p w:rsidR="0087163C" w:rsidRPr="000F6E85" w:rsidRDefault="00EB74C1" w:rsidP="00FF2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761A"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Два представителя одной команды участвуют в соревнованиях. Один из них попадает в финал за 1 – 3 места, причем вероятность занять первое место 0,2; второе – 0,3. Второй участник команды попадает в утешительный финал за 4 – 6 места, где его вероятность быть четвертым и пятым одинакова, и равна 0,4. Составить закон распределения случайной величины </w:t>
            </w:r>
            <w:r w:rsidRPr="000F6E8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.75pt" o:ole="">
                  <v:imagedata r:id="rId12" o:title=""/>
                </v:shape>
                <o:OLEObject Type="Embed" ProgID="Equation.3" ShapeID="_x0000_i1025" DrawAspect="Content" ObjectID="_1760285514" r:id="rId13"/>
              </w:objec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 – суммы мест, занятыми представителями данной команды; построить функцию распределения случайной величины </w:t>
            </w:r>
            <w:r w:rsidRPr="000F6E8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26" type="#_x0000_t75" style="width:14.25pt;height:12.75pt" o:ole="">
                  <v:imagedata r:id="rId12" o:title=""/>
                </v:shape>
                <o:OLEObject Type="Embed" ProgID="Equation.3" ShapeID="_x0000_i1026" DrawAspect="Content" ObjectID="_1760285515" r:id="rId14"/>
              </w:objec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 xml:space="preserve">, найти  </w:t>
            </w:r>
            <w:r w:rsidRPr="000F6E8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40">
                <v:shape id="_x0000_i1027" type="#_x0000_t75" style="width:99pt;height:17.25pt" o:ole="">
                  <v:imagedata r:id="rId15" o:title=""/>
                </v:shape>
                <o:OLEObject Type="Embed" ProgID="Equation.3" ShapeID="_x0000_i1027" DrawAspect="Content" ObjectID="_1760285516" r:id="rId16"/>
              </w:object>
            </w: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63C" w:rsidRPr="000F6E85" w:rsidRDefault="00EB74C1" w:rsidP="00FF2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E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63C" w:rsidRPr="000F6E85">
              <w:rPr>
                <w:rFonts w:ascii="Times New Roman" w:hAnsi="Times New Roman" w:cs="Times New Roman"/>
                <w:sz w:val="24"/>
                <w:szCs w:val="24"/>
              </w:rPr>
              <w:t>. Вероятности успешной сдачи экзамена по первому, второму и третьему предмету у данного студента равны 0,6; 0,7; 0,8. Найти вероятность того, что он: а) сдаст все экзамены; б) не сдаст хотя бы один экзамен; в) сдаст только первый экзамен.</w:t>
            </w:r>
          </w:p>
          <w:p w:rsidR="0087163C" w:rsidRPr="000F6E85" w:rsidRDefault="00EB74C1" w:rsidP="00FF231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6E85">
              <w:rPr>
                <w:rFonts w:ascii="Times New Roman" w:hAnsi="Times New Roman"/>
                <w:sz w:val="24"/>
                <w:szCs w:val="24"/>
              </w:rPr>
              <w:t>16</w:t>
            </w:r>
            <w:r w:rsidR="0087163C" w:rsidRPr="000F6E85">
              <w:rPr>
                <w:rFonts w:ascii="Times New Roman" w:hAnsi="Times New Roman"/>
                <w:sz w:val="24"/>
                <w:szCs w:val="24"/>
              </w:rPr>
              <w:t>. Турист приехал в город, в котором две гостиницы. Вероятность наличие свободных мест в первой гостинице-0,8, во второй-0,6. Определить вероятность наличия свободных мест хотя бы в одной из гостиниц.</w:t>
            </w:r>
          </w:p>
          <w:p w:rsidR="0087163C" w:rsidRPr="000F6E85" w:rsidRDefault="0087163C" w:rsidP="00FF231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B4A30" w:rsidRPr="000F6E85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103AC" w:rsidRPr="000F6E85" w:rsidRDefault="00DB4A30" w:rsidP="000B34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  <w:r w:rsidRPr="000F6E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:rsidR="006459F1" w:rsidRPr="000F6E85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0F6E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обучающихся </w:t>
      </w:r>
      <w:r w:rsidRPr="000F6E85">
        <w:rPr>
          <w:rFonts w:ascii="Times New Roman" w:eastAsia="Times New Roman" w:hAnsi="Times New Roman" w:cs="Times New Roman"/>
          <w:bCs/>
          <w:iCs/>
          <w:sz w:val="24"/>
          <w:szCs w:val="24"/>
        </w:rPr>
        <w:t>к промежуточной аттестации</w:t>
      </w:r>
    </w:p>
    <w:p w:rsidR="000B3497" w:rsidRPr="000F6E85" w:rsidRDefault="00EB74C1" w:rsidP="001754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5714" w:rsidRPr="000F6E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1EB0" w:rsidRPr="000F6E85">
        <w:rPr>
          <w:rFonts w:ascii="Times New Roman" w:hAnsi="Times New Roman" w:cs="Times New Roman"/>
          <w:color w:val="000000"/>
          <w:sz w:val="24"/>
          <w:szCs w:val="24"/>
        </w:rPr>
        <w:t>семестр (</w:t>
      </w:r>
      <w:r w:rsidR="00E15FF9">
        <w:rPr>
          <w:rFonts w:ascii="Times New Roman" w:hAnsi="Times New Roman" w:cs="Times New Roman"/>
          <w:color w:val="000000"/>
          <w:sz w:val="24"/>
          <w:szCs w:val="24"/>
        </w:rPr>
        <w:t>зачет с оценкой</w:t>
      </w:r>
      <w:r w:rsidR="000B3497" w:rsidRPr="000F6E8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A5714" w:rsidRPr="000F6E85" w:rsidRDefault="008A5714" w:rsidP="008A5714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7" w:firstLine="51"/>
        <w:rPr>
          <w:rFonts w:ascii="Times New Roman" w:hAnsi="Times New Roman"/>
          <w:color w:val="000000"/>
          <w:sz w:val="24"/>
          <w:szCs w:val="24"/>
        </w:rPr>
      </w:pPr>
      <w:r w:rsidRPr="000F6E85">
        <w:rPr>
          <w:rFonts w:ascii="Times New Roman" w:hAnsi="Times New Roman"/>
          <w:color w:val="000000"/>
          <w:sz w:val="24"/>
          <w:szCs w:val="24"/>
        </w:rPr>
        <w:t>Предмет теории вероятностей. Случайное событие. Классификация событий.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Операции над событиями (алгебра событий). Диаграмма Венна. Классическое определение вероятности. Элементы комбинаторики.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3.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Относительная частота события и статическая вероятность. Геометрическая вероятность.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4.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Совместные и несовместные случайные события. Теорема сложения вероятностей.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5.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 xml:space="preserve">Условные вероятности. Теорема умножения вероятностей. 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6.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Вероятность появления хотя бы одного события.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7.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Формула полной вероятности. Формулы вероятности гипотез (формулы Байеса).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8.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 xml:space="preserve">Повторные независимые испытания. Формула Бернулли. Локальная и интегральная теорема Лапласа. Формула Пуассона. 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9.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 xml:space="preserve">Случайные величины. Дискретные и непрерывные случайные величины. Функция распределения </w:t>
      </w:r>
      <w:r w:rsidRPr="000F6E85">
        <w:rPr>
          <w:rFonts w:ascii="Times New Roman" w:hAnsi="Times New Roman"/>
          <w:color w:val="000000"/>
          <w:sz w:val="24"/>
          <w:szCs w:val="24"/>
        </w:rPr>
        <w:lastRenderedPageBreak/>
        <w:t>вероятностей и ее свойства.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10.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Закон распределения вероятностей дискретной случайной величины. Биномиальное распределение. Распределение Пуассона. Геометрическое распределение.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11.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Операции над независимыми дискретными величинами.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12.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Плотность распределения вероятностей непрерывной случайной величины и его свойства. Вероятность попадания случайной величины в заданный интервал.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13.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Основные числовые характеристики случайных величин (математическое ожидание, дисперсия, среднее квадратическое отклонение).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14.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Мода, медиана, начальные и центральные моменты случайных величин, коэффициент асимметрии и эксцесс.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15.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Равномерный закон распределения вероятностей и его числовые характеристики.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16.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Показательный закон распределения случайной величины.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17.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Нормальный закон распределения вероятностей и его параметры.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18.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Вероятность попадания в заданный интервал нормально распределенной случайной величины. Вероятность ее отклонения от математического ожидания. Правило «трех сигм»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19.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Понятие о распределениях «хи квадрат» Пирсона, Стьюдента, Фишера.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20.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Система двух случайных величин и ее числовые характеристики.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21.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Закон больших чисел. Теорема Бернулли об устойчивости частот. Теорема Чебышева об устойчивости средних. Центральная предельная теорема Ляпунова.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22.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Основные задачи математической статистики. Генеральная и выборочная совокупность. Репрезентативность выборки.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23.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Вариационные ряды для дискретных и непрерывных случайных величин и их графическое изображение.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24.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Эмпирическая функция распределения относительных частот. Гистограмма относительных частот.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25.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Числовые характеристики вариационных рядов: выборочная, средняя, выборочная дисперсия, выборочное среднее квадратическое отклонение, мода, медиана и др.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26.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Точечные оценки параметров генеральной совокупности: смещенные, состоятельные и эффектные. Исправленная выборочная дисперсия.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27.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Интервальные оценки параметров генеральной совокупности. Доверительный интервал. Доверительная вероятность(надежность).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28.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Доверительные интервалы для оценки математического ожидания нормального распределения при неизвестном среднеквадратическом отклонении.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29.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Понятие статической гипотезы и основные этапы ее проверки.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30.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Проверка гипотезы о нормальном распределении генеральной совокупности по критерию Пирсона.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31.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Функциональная, статическая и корреляционная зависимость. Линейная парная регрессия.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32.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Выборочный коэффициент корреляции и его свойства.</w:t>
      </w:r>
      <w:r w:rsidRPr="000F6E85">
        <w:rPr>
          <w:rFonts w:ascii="Times New Roman" w:hAnsi="Times New Roman"/>
          <w:color w:val="000000"/>
          <w:sz w:val="24"/>
          <w:szCs w:val="24"/>
        </w:rPr>
        <w:br/>
        <w:t>33.</w:t>
      </w:r>
      <w:r w:rsidRPr="000F6E85">
        <w:rPr>
          <w:rFonts w:ascii="Times New Roman" w:hAnsi="Times New Roman"/>
          <w:color w:val="000000"/>
          <w:sz w:val="24"/>
          <w:szCs w:val="24"/>
        </w:rPr>
        <w:tab/>
        <w:t>Корреляционная таблица. Отыскание параметров выборочного уравнения прямой линии регрессии по сгруппированным данным</w:t>
      </w:r>
    </w:p>
    <w:p w:rsidR="000B3497" w:rsidRPr="000F6E85" w:rsidRDefault="000B3497" w:rsidP="008A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B3497" w:rsidRPr="000F6E85" w:rsidRDefault="000B3497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E1016" w:rsidRPr="000F6E85" w:rsidRDefault="009E1016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3E1" w:rsidRPr="000F6E85" w:rsidRDefault="00B24C1F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D435AD" w:rsidRPr="000F6E8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0F6E85" w:rsidRDefault="00D435AD" w:rsidP="000B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71" w:rsidRPr="000F6E85" w:rsidRDefault="00F22904" w:rsidP="0090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F6E8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F6E8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0F6E85">
        <w:rPr>
          <w:rFonts w:ascii="Times New Roman" w:hAnsi="Times New Roman" w:cs="Times New Roman"/>
          <w:sz w:val="24"/>
          <w:szCs w:val="24"/>
        </w:rPr>
        <w:t>составляет</w:t>
      </w:r>
      <w:r w:rsidRPr="000F6E85">
        <w:rPr>
          <w:rFonts w:ascii="Times New Roman" w:hAnsi="Times New Roman" w:cs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F6E8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F6E8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0F6E85">
        <w:rPr>
          <w:rFonts w:ascii="Times New Roman" w:hAnsi="Times New Roman" w:cs="Times New Roman"/>
          <w:sz w:val="24"/>
          <w:szCs w:val="24"/>
        </w:rPr>
        <w:t>;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F6E8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F6E8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0F6E85">
        <w:rPr>
          <w:rFonts w:ascii="Times New Roman" w:hAnsi="Times New Roman" w:cs="Times New Roman"/>
          <w:sz w:val="24"/>
          <w:szCs w:val="24"/>
        </w:rPr>
        <w:t>;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F6E8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F6E8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7BD" w:rsidRPr="000F6E85" w:rsidRDefault="00F22904" w:rsidP="009005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формирования оценок по </w:t>
      </w:r>
      <w:r w:rsidR="00B910B1" w:rsidRPr="000F6E85">
        <w:rPr>
          <w:rFonts w:ascii="Times New Roman" w:eastAsia="Times New Roman" w:hAnsi="Times New Roman" w:cs="Times New Roman"/>
          <w:b/>
          <w:sz w:val="24"/>
          <w:szCs w:val="24"/>
        </w:rPr>
        <w:t>результатам выполнения заданий</w:t>
      </w:r>
    </w:p>
    <w:p w:rsidR="000327BD" w:rsidRPr="000F6E85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F6E85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0F6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0F6E85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0F6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0F6E8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0F6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0F6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0F6E85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FF9" w:rsidRPr="009E1016" w:rsidRDefault="00E15FF9" w:rsidP="00E15F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 с оценкой</w:t>
      </w:r>
    </w:p>
    <w:p w:rsidR="00E15FF9" w:rsidRPr="00A80977" w:rsidRDefault="00E15FF9" w:rsidP="00E15F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E15FF9" w:rsidRPr="00A80977" w:rsidRDefault="00E15FF9" w:rsidP="00E15F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E15FF9" w:rsidRPr="00A80977" w:rsidRDefault="00E15FF9" w:rsidP="00E15F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15FF9" w:rsidRPr="00A80977" w:rsidRDefault="00E15FF9" w:rsidP="00E15FF9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«Неудовлетворительно/не зачтено» </w:t>
      </w:r>
      <w:r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p w:rsidR="0061764B" w:rsidRPr="000F6E85" w:rsidRDefault="0061764B" w:rsidP="00E15FF9">
      <w:pPr>
        <w:widowControl w:val="0"/>
        <w:autoSpaceDE w:val="0"/>
        <w:autoSpaceDN w:val="0"/>
        <w:adjustRightInd w:val="0"/>
        <w:spacing w:after="0" w:line="240" w:lineRule="auto"/>
        <w:ind w:left="15" w:right="17"/>
        <w:rPr>
          <w:rFonts w:ascii="Times New Roman" w:hAnsi="Times New Roman" w:cs="Times New Roman"/>
          <w:sz w:val="24"/>
          <w:szCs w:val="24"/>
        </w:rPr>
      </w:pPr>
    </w:p>
    <w:sectPr w:rsidR="0061764B" w:rsidRPr="000F6E85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A3" w:rsidRDefault="003538A3" w:rsidP="00EE3C25">
      <w:pPr>
        <w:spacing w:after="0" w:line="240" w:lineRule="auto"/>
      </w:pPr>
      <w:r>
        <w:separator/>
      </w:r>
    </w:p>
  </w:endnote>
  <w:endnote w:type="continuationSeparator" w:id="0">
    <w:p w:rsidR="003538A3" w:rsidRDefault="003538A3" w:rsidP="00EE3C25">
      <w:pPr>
        <w:spacing w:after="0" w:line="240" w:lineRule="auto"/>
      </w:pPr>
      <w:r>
        <w:continuationSeparator/>
      </w:r>
    </w:p>
  </w:endnote>
  <w:endnote w:type="continuationNotice" w:id="1">
    <w:p w:rsidR="003538A3" w:rsidRDefault="00353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A3" w:rsidRDefault="003538A3" w:rsidP="00EE3C25">
      <w:pPr>
        <w:spacing w:after="0" w:line="240" w:lineRule="auto"/>
      </w:pPr>
      <w:r>
        <w:separator/>
      </w:r>
    </w:p>
  </w:footnote>
  <w:footnote w:type="continuationSeparator" w:id="0">
    <w:p w:rsidR="003538A3" w:rsidRDefault="003538A3" w:rsidP="00EE3C25">
      <w:pPr>
        <w:spacing w:after="0" w:line="240" w:lineRule="auto"/>
      </w:pPr>
      <w:r>
        <w:continuationSeparator/>
      </w:r>
    </w:p>
  </w:footnote>
  <w:footnote w:type="continuationNotice" w:id="1">
    <w:p w:rsidR="003538A3" w:rsidRDefault="003538A3">
      <w:pPr>
        <w:spacing w:after="0" w:line="240" w:lineRule="auto"/>
      </w:pPr>
    </w:p>
  </w:footnote>
  <w:footnote w:id="2">
    <w:p w:rsidR="00702679" w:rsidRPr="00A80977" w:rsidRDefault="00702679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E83"/>
    <w:multiLevelType w:val="hybridMultilevel"/>
    <w:tmpl w:val="2C70462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E3FC2"/>
    <w:multiLevelType w:val="hybridMultilevel"/>
    <w:tmpl w:val="8CB21FF0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5568C"/>
    <w:multiLevelType w:val="multilevel"/>
    <w:tmpl w:val="18D05DE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20493"/>
    <w:multiLevelType w:val="hybridMultilevel"/>
    <w:tmpl w:val="7B80705E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F01D2"/>
    <w:multiLevelType w:val="hybridMultilevel"/>
    <w:tmpl w:val="E00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3B05"/>
    <w:multiLevelType w:val="hybridMultilevel"/>
    <w:tmpl w:val="C26E7F8E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807BB"/>
    <w:multiLevelType w:val="multilevel"/>
    <w:tmpl w:val="037884D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>
      <w:start w:val="27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133DE"/>
    <w:multiLevelType w:val="hybridMultilevel"/>
    <w:tmpl w:val="0C8EFAF2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E6B"/>
    <w:multiLevelType w:val="hybridMultilevel"/>
    <w:tmpl w:val="F63E358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75E50"/>
    <w:multiLevelType w:val="hybridMultilevel"/>
    <w:tmpl w:val="CCAC76D4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3634E"/>
    <w:multiLevelType w:val="hybridMultilevel"/>
    <w:tmpl w:val="C0F2BB44"/>
    <w:lvl w:ilvl="0" w:tplc="38A2F85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47150"/>
    <w:multiLevelType w:val="hybridMultilevel"/>
    <w:tmpl w:val="0E624498"/>
    <w:lvl w:ilvl="0" w:tplc="DC9851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40ED1250"/>
    <w:multiLevelType w:val="hybridMultilevel"/>
    <w:tmpl w:val="82E863A6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6" w15:restartNumberingAfterBreak="0">
    <w:nsid w:val="635212D2"/>
    <w:multiLevelType w:val="hybridMultilevel"/>
    <w:tmpl w:val="1BDADB56"/>
    <w:lvl w:ilvl="0" w:tplc="6CA09CD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690C3231"/>
    <w:multiLevelType w:val="hybridMultilevel"/>
    <w:tmpl w:val="87C2A29C"/>
    <w:lvl w:ilvl="0" w:tplc="7BDE59C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121A0"/>
    <w:multiLevelType w:val="hybridMultilevel"/>
    <w:tmpl w:val="60A4D278"/>
    <w:lvl w:ilvl="0" w:tplc="3A32F49A">
      <w:start w:val="1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7"/>
  </w:num>
  <w:num w:numId="16">
    <w:abstractNumId w:val="16"/>
  </w:num>
  <w:num w:numId="17">
    <w:abstractNumId w:val="13"/>
  </w:num>
  <w:num w:numId="1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837"/>
    <w:rsid w:val="00001B8A"/>
    <w:rsid w:val="00001C86"/>
    <w:rsid w:val="0000615C"/>
    <w:rsid w:val="00013C81"/>
    <w:rsid w:val="00026163"/>
    <w:rsid w:val="000327BD"/>
    <w:rsid w:val="00036BB0"/>
    <w:rsid w:val="00050AE8"/>
    <w:rsid w:val="00055E3E"/>
    <w:rsid w:val="00061D2A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B3497"/>
    <w:rsid w:val="000C0257"/>
    <w:rsid w:val="000D1E67"/>
    <w:rsid w:val="000D2AF6"/>
    <w:rsid w:val="000D3EA2"/>
    <w:rsid w:val="000D525F"/>
    <w:rsid w:val="000D761A"/>
    <w:rsid w:val="000E25FB"/>
    <w:rsid w:val="000E32E4"/>
    <w:rsid w:val="000E6783"/>
    <w:rsid w:val="000E75A1"/>
    <w:rsid w:val="000F0126"/>
    <w:rsid w:val="000F6E85"/>
    <w:rsid w:val="001046F7"/>
    <w:rsid w:val="0010771C"/>
    <w:rsid w:val="00112DB7"/>
    <w:rsid w:val="00115836"/>
    <w:rsid w:val="00120DD0"/>
    <w:rsid w:val="00121F8B"/>
    <w:rsid w:val="001304DD"/>
    <w:rsid w:val="001304E6"/>
    <w:rsid w:val="0013144B"/>
    <w:rsid w:val="00131AA7"/>
    <w:rsid w:val="00131C7A"/>
    <w:rsid w:val="0013475A"/>
    <w:rsid w:val="00134B34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75448"/>
    <w:rsid w:val="00180A7F"/>
    <w:rsid w:val="001816F2"/>
    <w:rsid w:val="00183DAF"/>
    <w:rsid w:val="00193002"/>
    <w:rsid w:val="00197AF7"/>
    <w:rsid w:val="001A24BB"/>
    <w:rsid w:val="001A4A40"/>
    <w:rsid w:val="001C3FB5"/>
    <w:rsid w:val="001C5064"/>
    <w:rsid w:val="001C5C51"/>
    <w:rsid w:val="001D0876"/>
    <w:rsid w:val="001D1DB8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95C9D"/>
    <w:rsid w:val="002A75F3"/>
    <w:rsid w:val="002B787F"/>
    <w:rsid w:val="002C2C8C"/>
    <w:rsid w:val="002C35C5"/>
    <w:rsid w:val="002C5147"/>
    <w:rsid w:val="002D202E"/>
    <w:rsid w:val="002E0EFB"/>
    <w:rsid w:val="002E279F"/>
    <w:rsid w:val="00300343"/>
    <w:rsid w:val="00301722"/>
    <w:rsid w:val="00306FC3"/>
    <w:rsid w:val="00307025"/>
    <w:rsid w:val="003265C2"/>
    <w:rsid w:val="0034217B"/>
    <w:rsid w:val="0035020D"/>
    <w:rsid w:val="003516FD"/>
    <w:rsid w:val="003538A3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79CB"/>
    <w:rsid w:val="003F7D8A"/>
    <w:rsid w:val="00400BCD"/>
    <w:rsid w:val="00411921"/>
    <w:rsid w:val="004159B0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3BDF"/>
    <w:rsid w:val="0047463C"/>
    <w:rsid w:val="00474BAE"/>
    <w:rsid w:val="0047599B"/>
    <w:rsid w:val="004765F4"/>
    <w:rsid w:val="00481535"/>
    <w:rsid w:val="00482210"/>
    <w:rsid w:val="0048435B"/>
    <w:rsid w:val="00487108"/>
    <w:rsid w:val="004B007E"/>
    <w:rsid w:val="004C026B"/>
    <w:rsid w:val="004D037B"/>
    <w:rsid w:val="004E0A69"/>
    <w:rsid w:val="004E1E0D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DC6"/>
    <w:rsid w:val="00506E5D"/>
    <w:rsid w:val="0053335C"/>
    <w:rsid w:val="00544B2D"/>
    <w:rsid w:val="00556FA4"/>
    <w:rsid w:val="00560597"/>
    <w:rsid w:val="00566887"/>
    <w:rsid w:val="00567DFC"/>
    <w:rsid w:val="00577789"/>
    <w:rsid w:val="00580FBA"/>
    <w:rsid w:val="00584B9E"/>
    <w:rsid w:val="00595E13"/>
    <w:rsid w:val="005970E4"/>
    <w:rsid w:val="005A5624"/>
    <w:rsid w:val="005A5D95"/>
    <w:rsid w:val="005B2CE6"/>
    <w:rsid w:val="005B2E48"/>
    <w:rsid w:val="005C143D"/>
    <w:rsid w:val="005E2407"/>
    <w:rsid w:val="005E6CF1"/>
    <w:rsid w:val="005F17C8"/>
    <w:rsid w:val="005F2A8E"/>
    <w:rsid w:val="005F58CA"/>
    <w:rsid w:val="0060281C"/>
    <w:rsid w:val="00605416"/>
    <w:rsid w:val="00611A5E"/>
    <w:rsid w:val="0061764B"/>
    <w:rsid w:val="00632314"/>
    <w:rsid w:val="00635B8F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5C49"/>
    <w:rsid w:val="0069718F"/>
    <w:rsid w:val="006A7A69"/>
    <w:rsid w:val="006B10C2"/>
    <w:rsid w:val="006B1336"/>
    <w:rsid w:val="006B2D36"/>
    <w:rsid w:val="006B4197"/>
    <w:rsid w:val="006B7AAC"/>
    <w:rsid w:val="006D31B0"/>
    <w:rsid w:val="006E7601"/>
    <w:rsid w:val="006F60A2"/>
    <w:rsid w:val="00702679"/>
    <w:rsid w:val="00707255"/>
    <w:rsid w:val="00707A71"/>
    <w:rsid w:val="00715F1D"/>
    <w:rsid w:val="00717953"/>
    <w:rsid w:val="00717AE0"/>
    <w:rsid w:val="007340D3"/>
    <w:rsid w:val="00734914"/>
    <w:rsid w:val="007419C7"/>
    <w:rsid w:val="0074241C"/>
    <w:rsid w:val="00742D94"/>
    <w:rsid w:val="00760BD1"/>
    <w:rsid w:val="00775E60"/>
    <w:rsid w:val="0078148A"/>
    <w:rsid w:val="00781780"/>
    <w:rsid w:val="00796F16"/>
    <w:rsid w:val="007A5DF7"/>
    <w:rsid w:val="007A78EC"/>
    <w:rsid w:val="007A7E1E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210E2"/>
    <w:rsid w:val="008307BB"/>
    <w:rsid w:val="0083657B"/>
    <w:rsid w:val="00847A7D"/>
    <w:rsid w:val="00853EC4"/>
    <w:rsid w:val="00854D07"/>
    <w:rsid w:val="00863198"/>
    <w:rsid w:val="008671B0"/>
    <w:rsid w:val="0087163C"/>
    <w:rsid w:val="00875903"/>
    <w:rsid w:val="00896FD5"/>
    <w:rsid w:val="00897CA4"/>
    <w:rsid w:val="008A0342"/>
    <w:rsid w:val="008A094E"/>
    <w:rsid w:val="008A5714"/>
    <w:rsid w:val="008B4342"/>
    <w:rsid w:val="008B48BA"/>
    <w:rsid w:val="008B758B"/>
    <w:rsid w:val="008C166F"/>
    <w:rsid w:val="008C19F3"/>
    <w:rsid w:val="008C1E68"/>
    <w:rsid w:val="008C3131"/>
    <w:rsid w:val="008C3823"/>
    <w:rsid w:val="008D4F66"/>
    <w:rsid w:val="008D5846"/>
    <w:rsid w:val="008D7CD3"/>
    <w:rsid w:val="008E61C5"/>
    <w:rsid w:val="008E6CE7"/>
    <w:rsid w:val="008F68CD"/>
    <w:rsid w:val="009005DF"/>
    <w:rsid w:val="00901A1B"/>
    <w:rsid w:val="009065A7"/>
    <w:rsid w:val="00914AAB"/>
    <w:rsid w:val="00922FC8"/>
    <w:rsid w:val="00930E88"/>
    <w:rsid w:val="009446ED"/>
    <w:rsid w:val="00944DE2"/>
    <w:rsid w:val="00945170"/>
    <w:rsid w:val="00946934"/>
    <w:rsid w:val="0095184D"/>
    <w:rsid w:val="00951EB0"/>
    <w:rsid w:val="00955B91"/>
    <w:rsid w:val="00956E19"/>
    <w:rsid w:val="00962748"/>
    <w:rsid w:val="00966AF3"/>
    <w:rsid w:val="0097266E"/>
    <w:rsid w:val="009730DC"/>
    <w:rsid w:val="00973559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D621F"/>
    <w:rsid w:val="009D74FB"/>
    <w:rsid w:val="009E1016"/>
    <w:rsid w:val="009F18C0"/>
    <w:rsid w:val="009F2E34"/>
    <w:rsid w:val="00A262CC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34EB"/>
    <w:rsid w:val="00AB4920"/>
    <w:rsid w:val="00AC0595"/>
    <w:rsid w:val="00AD15A9"/>
    <w:rsid w:val="00AD217D"/>
    <w:rsid w:val="00AD25AC"/>
    <w:rsid w:val="00AE0992"/>
    <w:rsid w:val="00AE1764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26326"/>
    <w:rsid w:val="00B31111"/>
    <w:rsid w:val="00B442C0"/>
    <w:rsid w:val="00B44727"/>
    <w:rsid w:val="00B47D3C"/>
    <w:rsid w:val="00B65183"/>
    <w:rsid w:val="00B669D5"/>
    <w:rsid w:val="00B67F1E"/>
    <w:rsid w:val="00B735E8"/>
    <w:rsid w:val="00B76696"/>
    <w:rsid w:val="00B80942"/>
    <w:rsid w:val="00B910B1"/>
    <w:rsid w:val="00B91957"/>
    <w:rsid w:val="00B94175"/>
    <w:rsid w:val="00BA124B"/>
    <w:rsid w:val="00BC0C33"/>
    <w:rsid w:val="00BC0ECE"/>
    <w:rsid w:val="00BC3400"/>
    <w:rsid w:val="00BC39C2"/>
    <w:rsid w:val="00BE767D"/>
    <w:rsid w:val="00BE7E60"/>
    <w:rsid w:val="00BF2027"/>
    <w:rsid w:val="00BF4366"/>
    <w:rsid w:val="00C114D6"/>
    <w:rsid w:val="00C300D8"/>
    <w:rsid w:val="00C33D6D"/>
    <w:rsid w:val="00C4415E"/>
    <w:rsid w:val="00C4724D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2C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435AD"/>
    <w:rsid w:val="00D54F2E"/>
    <w:rsid w:val="00D61D30"/>
    <w:rsid w:val="00D739D8"/>
    <w:rsid w:val="00D75CCD"/>
    <w:rsid w:val="00D90422"/>
    <w:rsid w:val="00D933E7"/>
    <w:rsid w:val="00DA19F6"/>
    <w:rsid w:val="00DB401C"/>
    <w:rsid w:val="00DB4A30"/>
    <w:rsid w:val="00DB7B1A"/>
    <w:rsid w:val="00DC548F"/>
    <w:rsid w:val="00DC664F"/>
    <w:rsid w:val="00DD10AB"/>
    <w:rsid w:val="00DD2480"/>
    <w:rsid w:val="00E01E18"/>
    <w:rsid w:val="00E02C26"/>
    <w:rsid w:val="00E05AEE"/>
    <w:rsid w:val="00E05DF3"/>
    <w:rsid w:val="00E12E0B"/>
    <w:rsid w:val="00E1549A"/>
    <w:rsid w:val="00E15FF9"/>
    <w:rsid w:val="00E17522"/>
    <w:rsid w:val="00E20530"/>
    <w:rsid w:val="00E22804"/>
    <w:rsid w:val="00E3716F"/>
    <w:rsid w:val="00E44D78"/>
    <w:rsid w:val="00E47F5B"/>
    <w:rsid w:val="00E50CEF"/>
    <w:rsid w:val="00E512A3"/>
    <w:rsid w:val="00E5199E"/>
    <w:rsid w:val="00E54A07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B74C1"/>
    <w:rsid w:val="00EC0A9F"/>
    <w:rsid w:val="00EC2DE1"/>
    <w:rsid w:val="00EC76FD"/>
    <w:rsid w:val="00ED7D18"/>
    <w:rsid w:val="00ED7E38"/>
    <w:rsid w:val="00EE3C25"/>
    <w:rsid w:val="00EE567F"/>
    <w:rsid w:val="00EE6895"/>
    <w:rsid w:val="00F009AE"/>
    <w:rsid w:val="00F052A9"/>
    <w:rsid w:val="00F15A8B"/>
    <w:rsid w:val="00F222AE"/>
    <w:rsid w:val="00F22904"/>
    <w:rsid w:val="00F33745"/>
    <w:rsid w:val="00F353B1"/>
    <w:rsid w:val="00F3572F"/>
    <w:rsid w:val="00F460A1"/>
    <w:rsid w:val="00F545A4"/>
    <w:rsid w:val="00F67470"/>
    <w:rsid w:val="00F77390"/>
    <w:rsid w:val="00F82C81"/>
    <w:rsid w:val="00F863DA"/>
    <w:rsid w:val="00F967C3"/>
    <w:rsid w:val="00FA17D5"/>
    <w:rsid w:val="00FB6084"/>
    <w:rsid w:val="00FD0A38"/>
    <w:rsid w:val="00FD0F65"/>
    <w:rsid w:val="00FD1F22"/>
    <w:rsid w:val="00FE2DC8"/>
    <w:rsid w:val="00FE5693"/>
    <w:rsid w:val="00FF2313"/>
    <w:rsid w:val="00FF7A7C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11B4-72CE-4507-B70A-B9AB1F7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DFEE7-2049-4B18-8F3F-687C8958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75398-ECD5-4F53-94B2-8CD48373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10</cp:revision>
  <cp:lastPrinted>2021-02-16T04:52:00Z</cp:lastPrinted>
  <dcterms:created xsi:type="dcterms:W3CDTF">2021-04-13T06:02:00Z</dcterms:created>
  <dcterms:modified xsi:type="dcterms:W3CDTF">2023-10-31T15:25:00Z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