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ППССЗ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05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Выполнение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нескольким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профессиям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рабочих,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служащих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сети/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распределительных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сетей/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тяговой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подстанции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13.02.07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Электроснабжение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(по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отраслям)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(квалификация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техник)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</w:t>
      </w:r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начала</w:t>
      </w:r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BB16AF">
        <w:rPr>
          <w:rFonts w:ascii="Times New Roman" w:hAnsi="Times New Roman"/>
          <w:sz w:val="28"/>
        </w:rPr>
        <w:t>2</w:t>
      </w:r>
      <w:bookmarkStart w:id="0" w:name="_GoBack"/>
      <w:bookmarkEnd w:id="0"/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Pr="00A25CAE" w:rsidRDefault="009B1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Рецензенты: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br w:type="page"/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rPr>
          <w:trHeight w:val="670"/>
        </w:trPr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7"/>
          <w:footerReference w:type="first" r:id="rId8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ПАСПОРТ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применения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:rsidR="009B1421" w:rsidRDefault="00027385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Cs/>
          <w:sz w:val="24"/>
          <w:szCs w:val="28"/>
        </w:rPr>
        <w:t>Выполнение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работ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одной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нескольким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профессиям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рабочих,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должностям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служащих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контактной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сети/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эксплуатации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распределительных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сетей/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тяговой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подстанции</w:t>
      </w:r>
      <w:r>
        <w:rPr>
          <w:rFonts w:ascii="Times New Roman" w:hAnsi="Times New Roman"/>
          <w:sz w:val="24"/>
        </w:rPr>
        <w:t>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ОПОП–ППССЗ)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(ПК):</w:t>
      </w:r>
    </w:p>
    <w:p w:rsidR="009B1421" w:rsidRDefault="00027385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ascii="Times New Roman" w:hAnsi="Times New Roman" w:cs="Times New Roman"/>
          <w:sz w:val="24"/>
        </w:rPr>
        <w:t>При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реализации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рабочей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программы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могут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использоваться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различные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в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том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числе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дистанционные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электронное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обучение.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переподготовке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монтажу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подстанции.</w:t>
      </w:r>
    </w:p>
    <w:p w:rsidR="009B1421" w:rsidRDefault="009B14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ОПОП–ППССЗ: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цикл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результатам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иметь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практический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опыт: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выполнении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чертежам,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такелажа,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аппаратуры;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произошедших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сетях;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ПО.4-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эксплуатационно-технического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ПО.5-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модернизации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ПО.7-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ПО.8-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ПО.9-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телемеханики;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уметь: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запасных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маршрутную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карту,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узлы;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У5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первичных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соединений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электрических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станций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соединений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2B636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У7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мере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внедрения);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пересмотр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подчиненных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вблизи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У10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секционирования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контактной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местах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высокоскоростным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движением;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У11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принципиальные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техническому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обслуживанию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ремонту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трансформаторных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линейных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тягового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</w:rPr>
        <w:t>знать</w:t>
      </w:r>
      <w:r>
        <w:rPr>
          <w:rFonts w:ascii="Times New Roman" w:hAnsi="Times New Roman"/>
          <w:b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электротехнологического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электроустановок;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неактивных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(вспомогательных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трансформатора);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сухих,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масляных,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двухобмоточных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траформаторов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(подвесной,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натяжной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изоляции,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шинопроводов,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молниезащиты,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контуров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заземляющих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устройств),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ихприменения;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элементы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минимальные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допускаемые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прогрева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кабеля;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освещения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линейных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вакуумных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выключателей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элегазового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З17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основе;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однолинейные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1.4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учебно–методического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самостоятельной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обучающихся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Виды,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перечень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Объем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трудоемкости.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учебно–методическое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методические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используемых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методов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обучения: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Пассивные: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с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интерактивные: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0273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br w:type="page"/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lastRenderedPageBreak/>
        <w:t>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(ВПД):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компетенциями: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67"/>
        <w:gridCol w:w="8828"/>
      </w:tblGrid>
      <w:tr w:rsidR="009B1421" w:rsidTr="00A25CAE">
        <w:trPr>
          <w:trHeight w:val="65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ОК </w:t>
            </w:r>
            <w:r w:rsidR="00027385">
              <w:rPr>
                <w:rFonts w:ascii="Times New Roman" w:hAnsi="Times New Roman"/>
                <w:bCs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релейных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автоматизированных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отчетную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наладке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аварийных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воспитания,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(ЛР):</w:t>
      </w:r>
      <w:r w:rsidR="002B63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0"/>
        <w:gridCol w:w="9099"/>
      </w:tblGrid>
      <w:tr w:rsidR="009B1421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B1421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>ющий с другими людьми, проектно</w:t>
            </w:r>
            <w:r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9B1421" w:rsidTr="002B6362">
        <w:trPr>
          <w:trHeight w:hRule="exact" w:val="5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B1421" w:rsidTr="002B6362">
        <w:trPr>
          <w:trHeight w:hRule="exact" w:val="73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</w:tc>
      </w:tr>
      <w:tr w:rsidR="009B1421" w:rsidTr="002B6362">
        <w:trPr>
          <w:trHeight w:hRule="exact" w:val="70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9B1421" w:rsidTr="002B6362">
        <w:trPr>
          <w:trHeight w:hRule="exact" w:val="71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B1421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потребителями.</w:t>
            </w:r>
          </w:p>
          <w:p w:rsidR="009B1421" w:rsidRDefault="009B14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9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 w:rsidP="00A25C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Тематический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базовой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подготовки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Очная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форма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73"/>
        <w:gridCol w:w="3742"/>
        <w:gridCol w:w="1068"/>
        <w:gridCol w:w="935"/>
        <w:gridCol w:w="801"/>
        <w:gridCol w:w="1067"/>
        <w:gridCol w:w="1206"/>
        <w:gridCol w:w="1067"/>
        <w:gridCol w:w="1070"/>
        <w:gridCol w:w="1070"/>
        <w:gridCol w:w="1074"/>
      </w:tblGrid>
      <w:tr w:rsidR="009B1421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профессио</w:t>
            </w:r>
            <w:r>
              <w:rPr>
                <w:rFonts w:ascii="Times New Roman" w:hAnsi="Times New Roman"/>
                <w:b/>
                <w:sz w:val="20"/>
              </w:rPr>
              <w:t>нальных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разделов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2B6362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</w:rPr>
              <w:t>(макс.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практики)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времени,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отведенный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освоение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B1421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аудиторная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Производственная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профилю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специальности),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(если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предусмотрена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рассредоточенная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практика)</w:t>
            </w:r>
          </w:p>
        </w:tc>
      </w:tr>
      <w:tr w:rsidR="009B1421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9B1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лабораторные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практические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т.ч.,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т.ч.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подготовка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9B1421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(по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профилю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специальности)</w:t>
            </w:r>
            <w:r>
              <w:rPr>
                <w:rFonts w:ascii="Times New Roman" w:hAnsi="Times New Roman"/>
                <w:sz w:val="24"/>
              </w:rPr>
              <w:t>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профессиональному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модулю</w:t>
      </w:r>
      <w:r w:rsidR="002B6362">
        <w:rPr>
          <w:rFonts w:ascii="Times New Roman" w:hAnsi="Times New Roman"/>
          <w:b/>
          <w:sz w:val="24"/>
        </w:rPr>
        <w:t xml:space="preserve"> </w:t>
      </w:r>
      <w:r w:rsidR="00A25CAE">
        <w:rPr>
          <w:rFonts w:ascii="Times New Roman" w:hAnsi="Times New Roman"/>
          <w:b/>
          <w:sz w:val="24"/>
          <w:szCs w:val="24"/>
        </w:rPr>
        <w:t xml:space="preserve">ПМ 05 </w:t>
      </w:r>
      <w:r w:rsidR="00A25CAE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работ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по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одной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или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рабочих,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должностям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9B1421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(ПМ),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9B1421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05.01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подстанций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1.1.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6B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Default="009B14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Подстанции,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подстанций.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трансформаторы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сухие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Коммутационные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защитные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аппараты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напряжением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1000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 w:rsidP="001770C6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инструментов,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защитных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монтажных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малообъемные.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Вакуумные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Элегазовые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элегаза.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770C6" w:rsidRDefault="00177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70C6" w:rsidRDefault="001770C6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 w:rsidP="006B3830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 w:rsidP="006B383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Разъединители,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короткозамыкатели.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Приводы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ограничители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перенапряжений.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Изоляторы,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провода.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трансформаторы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напряжения.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сварных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отпрессованных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сборных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1770C6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B1421" w:rsidRDefault="009B142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421" w:rsidRDefault="009B1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ПУЭ.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(элегазовых)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1.2.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линейных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тягового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электроснабжения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6B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участков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3830" w:rsidRDefault="006B3830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3830" w:rsidRDefault="006B3830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830" w:rsidRDefault="006B3830" w:rsidP="0036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электроснабжения.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железных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Федерации.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зоне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подачей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от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постороннего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источника.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электроизмерительными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клещами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измерительными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штангами.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импульсным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измерителем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линий.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мегаомметром.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Переносные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электроинструменты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светильники,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ручные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машины,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сравнительный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межремонтные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испытания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текущему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ремонту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железных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дорог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(силовые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№5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ограничителей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9B1421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6B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УП.05.01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амперметра,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вольтметра.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трассы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скрытой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проводов,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рейки,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электросчетчика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однофазного,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трехфазного.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электродвигателей.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коммутационной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аппаратурой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маркировкой,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плавких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предохранителей,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тепловых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электромагнитных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реле.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Ремонт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защитной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аппаратуры.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сигнализации.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специальности)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подстанции.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средствами,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применяемыми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исправности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автоматических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выключателей,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контакторов,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магнитных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пускателей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шин.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предохранителей.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разрядников.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ограничителей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перенапряжения.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переключений.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C12E83">
        <w:rPr>
          <w:rFonts w:ascii="Times New Roman" w:hAnsi="Times New Roman"/>
          <w:b/>
          <w:sz w:val="24"/>
          <w:szCs w:val="24"/>
        </w:rPr>
        <w:t>5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работ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одной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или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рабочих,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должностям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1421" w:rsidRDefault="004E3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27385">
        <w:rPr>
          <w:rFonts w:ascii="Times New Roman" w:hAnsi="Times New Roman"/>
          <w:bCs/>
          <w:sz w:val="24"/>
          <w:szCs w:val="24"/>
        </w:rPr>
        <w:t>рофессиональный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модуль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реализуется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в: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а)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кабинетах:</w:t>
      </w:r>
    </w:p>
    <w:p w:rsidR="009B1421" w:rsidRDefault="00027385">
      <w:pPr>
        <w:spacing w:after="0" w:line="240" w:lineRule="auto"/>
        <w:ind w:right="227" w:firstLine="709"/>
        <w:jc w:val="both"/>
      </w:pPr>
      <w:r>
        <w:rPr>
          <w:rFonts w:ascii="Times New Roman" w:hAnsi="Times New Roman"/>
          <w:sz w:val="24"/>
          <w:szCs w:val="24"/>
        </w:rPr>
        <w:t>Учебная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пециальное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помещение,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аудиторию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программой,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B63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Кабинет</w:t>
      </w:r>
      <w:r w:rsidR="002B63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«Контактной</w:t>
      </w:r>
      <w:r w:rsidR="002B63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сети»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комплект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посадочные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лабораториях:</w:t>
      </w:r>
    </w:p>
    <w:p w:rsidR="009B1421" w:rsidRDefault="00027385">
      <w:pPr>
        <w:pStyle w:val="WW-Heading1"/>
        <w:ind w:left="0" w:firstLine="709"/>
      </w:pPr>
      <w:r>
        <w:rPr>
          <w:sz w:val="24"/>
          <w:szCs w:val="24"/>
        </w:rPr>
        <w:t>Лаборатория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2B636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посадочные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оборудование;</w:t>
      </w:r>
    </w:p>
    <w:p w:rsidR="009B1421" w:rsidRDefault="009B142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1421" w:rsidRDefault="0002738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в)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помещении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подключенное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сети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"Интернет"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доступом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информационно-образовательную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среду.</w:t>
      </w:r>
    </w:p>
    <w:p w:rsidR="009B1421" w:rsidRPr="00C12E83" w:rsidRDefault="009B1421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1421" w:rsidRDefault="0002738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используется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ЭИОС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Moodle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9B1421" w:rsidRDefault="0002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библиотечный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ресурсы,</w:t>
      </w:r>
      <w:r w:rsidR="002B63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используемые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изданий,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Интернет–ресурсов,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данных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фонда:</w:t>
      </w:r>
    </w:p>
    <w:p w:rsidR="009B1421" w:rsidRDefault="002B6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t>Основные</w:t>
      </w:r>
      <w:r w:rsidR="002B6362">
        <w:t xml:space="preserve"> </w:t>
      </w:r>
      <w:r>
        <w:t>источники:</w:t>
      </w: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70"/>
      </w:tblGrid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Электроснабжение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оборудования: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учебное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пособие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2023.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-184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1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Сивков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Герасимов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электроснабжения: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>
              <w:r>
                <w:rPr>
                  <w:rStyle w:val="a3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:rsidR="009B1421" w:rsidRDefault="002B6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ФГБУ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ДПО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«УМЦ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ЖДТ»,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2018.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278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–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3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5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КОНТРОЛЬ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И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ОЦЕНКА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РЕЗУЛЬТАТОВ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ОСВОЕНИЯ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ПРОФЕССИОНАЛЬНОГО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МОДУЛЯ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Контроль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оценка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процессе: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лабораторных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(написание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доклады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темам).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Обязательной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(квалификационный).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t>нозначное</w:t>
      </w:r>
      <w:r w:rsidR="002B6362">
        <w:t xml:space="preserve"> </w:t>
      </w:r>
      <w:r>
        <w:t>решение:</w:t>
      </w:r>
      <w:r w:rsidR="002B6362">
        <w:t xml:space="preserve"> </w:t>
      </w:r>
      <w:r>
        <w:t>«вид</w:t>
      </w:r>
      <w:r w:rsidR="002B6362">
        <w:t xml:space="preserve"> </w:t>
      </w:r>
      <w:r>
        <w:t>профессиональной</w:t>
      </w:r>
      <w:r w:rsidR="002B6362">
        <w:t xml:space="preserve"> </w:t>
      </w:r>
      <w:r>
        <w:t>деятельности</w:t>
      </w:r>
      <w:r w:rsidR="002B6362">
        <w:t xml:space="preserve"> </w:t>
      </w:r>
      <w:r>
        <w:t>освоен/не</w:t>
      </w:r>
      <w:r w:rsidR="002B6362">
        <w:t xml:space="preserve"> </w:t>
      </w:r>
      <w:r>
        <w:t>освоен».</w:t>
      </w:r>
    </w:p>
    <w:tbl>
      <w:tblPr>
        <w:tblW w:w="49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491"/>
        <w:gridCol w:w="4085"/>
      </w:tblGrid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МДК.05.01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УП.05.01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ПП.05.01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(по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профилю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ПМ.05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711"/>
      </w:tblGrid>
      <w:tr w:rsidR="009B1421" w:rsidTr="002B6362">
        <w:trPr>
          <w:cantSplit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усвоенные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оценки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</w:p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тематическим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9B1421" w:rsidTr="002B6362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опыт,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ПК,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67348E">
        <w:trPr>
          <w:cantSplit/>
          <w:trHeight w:val="184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сетей;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вносить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линий,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У7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аварийных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оборудование;</w:t>
            </w:r>
          </w:p>
          <w:p w:rsidR="009B1421" w:rsidRPr="002B6362" w:rsidRDefault="00027385" w:rsidP="002B636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У8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lastRenderedPageBreak/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z w:val="24"/>
              </w:rPr>
              <w:lastRenderedPageBreak/>
              <w:t>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632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228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</w:rPr>
              <w:t>З.2</w:t>
            </w:r>
            <w:r w:rsidR="002B6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условные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обозначения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элементов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электрических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З.3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логику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эксплуатируемых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З.4</w:t>
            </w:r>
            <w:r w:rsidR="002B63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технологию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обслуживания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трансформаторов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преобразователей;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З.6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эксплуатационно-технические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линий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электропередачи,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обслуживанию;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tabs>
                <w:tab w:val="left" w:pos="567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ПО.01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отраслям;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документации;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ПО3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действующие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планы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дополнений,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произошедших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сетях;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инструкций,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регламентов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эксплуатационно-технического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ПО5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ПО6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ПО7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ПО8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пределах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дистанции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электроснабжения;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ПО9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принципиальных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электрооборудования,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телемеханики;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ПО.10-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отличительных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сложных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</w:t>
            </w:r>
          </w:p>
          <w:p w:rsidR="00A25CAE" w:rsidRPr="00BB468A" w:rsidRDefault="00027385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ПК.1.2</w:t>
            </w:r>
            <w:r w:rsidR="00A25CAE" w:rsidRPr="00BB468A">
              <w:rPr>
                <w:rFonts w:ascii="Times New Roman" w:hAnsi="Times New Roman"/>
                <w:sz w:val="24"/>
              </w:rPr>
              <w:t xml:space="preserve"> 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>
      <w:footerReference w:type="default" r:id="rId1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6B" w:rsidRDefault="00867F6B">
      <w:pPr>
        <w:spacing w:after="0" w:line="240" w:lineRule="auto"/>
      </w:pPr>
      <w:r>
        <w:separator/>
      </w:r>
    </w:p>
  </w:endnote>
  <w:endnote w:type="continuationSeparator" w:id="0">
    <w:p w:rsidR="00867F6B" w:rsidRDefault="0086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B16AF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B16AF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B16AF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B16AF">
                      <w:rPr>
                        <w:rStyle w:val="a8"/>
                        <w:noProof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B16AF">
                            <w:rPr>
                              <w:rStyle w:val="a8"/>
                              <w:noProof/>
                            </w:rPr>
                            <w:t>13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B16AF">
                      <w:rPr>
                        <w:rStyle w:val="a8"/>
                        <w:noProof/>
                      </w:rPr>
                      <w:t>13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B16AF">
                            <w:rPr>
                              <w:rStyle w:val="a8"/>
                              <w:noProof/>
                            </w:rPr>
                            <w:t>18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B16AF">
                      <w:rPr>
                        <w:rStyle w:val="a8"/>
                        <w:noProof/>
                      </w:rPr>
                      <w:t>18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6B" w:rsidRDefault="00867F6B">
      <w:pPr>
        <w:spacing w:after="0" w:line="240" w:lineRule="auto"/>
      </w:pPr>
      <w:r>
        <w:separator/>
      </w:r>
    </w:p>
  </w:footnote>
  <w:footnote w:type="continuationSeparator" w:id="0">
    <w:p w:rsidR="00867F6B" w:rsidRDefault="0086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21"/>
    <w:rsid w:val="00027385"/>
    <w:rsid w:val="001770C6"/>
    <w:rsid w:val="002B6362"/>
    <w:rsid w:val="004E3BD3"/>
    <w:rsid w:val="0067348E"/>
    <w:rsid w:val="006B3830"/>
    <w:rsid w:val="00867F6B"/>
    <w:rsid w:val="009B1421"/>
    <w:rsid w:val="00A25CAE"/>
    <w:rsid w:val="00BB16AF"/>
    <w:rsid w:val="00C12E83"/>
    <w:rsid w:val="00E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BA139-63CF-4840-959C-1348499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1194/22548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1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1150/28058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Методист</cp:lastModifiedBy>
  <cp:revision>10</cp:revision>
  <cp:lastPrinted>2023-03-09T16:05:00Z</cp:lastPrinted>
  <dcterms:created xsi:type="dcterms:W3CDTF">2023-05-09T21:39:00Z</dcterms:created>
  <dcterms:modified xsi:type="dcterms:W3CDTF">2024-06-04T15:34:00Z</dcterms:modified>
  <dc:language>en-US</dc:language>
</cp:coreProperties>
</file>