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85"/>
        <w:gridCol w:w="1140"/>
        <w:gridCol w:w="607"/>
        <w:gridCol w:w="258"/>
        <w:gridCol w:w="142"/>
        <w:gridCol w:w="204"/>
        <w:gridCol w:w="606"/>
        <w:gridCol w:w="614"/>
        <w:gridCol w:w="175"/>
        <w:gridCol w:w="5752"/>
      </w:tblGrid>
      <w:tr w:rsidR="008F6314">
        <w:trPr>
          <w:trHeight w:val="1665"/>
        </w:trPr>
        <w:tc>
          <w:tcPr>
            <w:tcW w:w="1027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28675" cy="666750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6314" w:rsidRDefault="001F2AE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МИНИСТЕРСТВО ТРАНСПОРТА РОССИЙСКОЙ ФЕДЕРАЦИИ</w:t>
            </w:r>
          </w:p>
          <w:p w:rsidR="008F6314" w:rsidRDefault="001F2AE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ФЕДЕРАЛЬНОЕ АГЕНTСТВО ЖЕЛЕЗНОДОРОЖНОГО ТРАНСПОРТА</w:t>
            </w:r>
          </w:p>
          <w:p w:rsidR="008F6314" w:rsidRDefault="001F2AE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0"/>
              </w:rPr>
              <w:t>ФЕДЕРАЛЬНОЕ ГОСУДАРСТВЕННОЕ БЮДЖЕТНОЕ ОБРАЗОВАТЕЛЬНОЕ УЧРЕЖДЕНИЕ ВЫСШЕГО ОБРАЗОВАНИЯ</w:t>
            </w:r>
          </w:p>
          <w:p w:rsidR="008F6314" w:rsidRDefault="001F2A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  <w:t>ПРИВОЛЖСКИЙ ГОСУДАРСТВЕННЫЙ УНИВЕРСИТЕТ ПУТЕЙ СООБЩЕНИЯ</w:t>
            </w:r>
          </w:p>
          <w:p w:rsidR="008F6314" w:rsidRDefault="001F2AE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(ПривГУПС)</w:t>
            </w:r>
          </w:p>
          <w:p w:rsidR="008F6314" w:rsidRDefault="008F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14">
        <w:trPr>
          <w:trHeight w:hRule="exact" w:val="2636"/>
        </w:trPr>
        <w:tc>
          <w:tcPr>
            <w:tcW w:w="42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936"/>
        </w:trPr>
        <w:tc>
          <w:tcPr>
            <w:tcW w:w="1027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Философская антропология, философия культуры</w:t>
            </w:r>
          </w:p>
        </w:tc>
      </w:tr>
      <w:tr w:rsidR="008F6314">
        <w:trPr>
          <w:trHeight w:hRule="exact" w:val="416"/>
        </w:trPr>
        <w:tc>
          <w:tcPr>
            <w:tcW w:w="1027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  <w:p w:rsidR="008F6314" w:rsidRDefault="008F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F6314">
        <w:trPr>
          <w:trHeight w:hRule="exact" w:val="555"/>
        </w:trPr>
        <w:tc>
          <w:tcPr>
            <w:tcW w:w="42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478"/>
        </w:trPr>
        <w:tc>
          <w:tcPr>
            <w:tcW w:w="42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9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Научный специальность       </w:t>
            </w:r>
            <w:r>
              <w:rPr>
                <w:rFonts w:ascii="Times New Roman" w:hAnsi="Times New Roman" w:cs="Times New Roman"/>
                <w:szCs w:val="18"/>
              </w:rPr>
              <w:t>5.7.8. Философская антропология, философия культуры</w:t>
            </w:r>
          </w:p>
          <w:p w:rsidR="008F6314" w:rsidRDefault="008F63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F6314" w:rsidRDefault="008F6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314">
        <w:trPr>
          <w:trHeight w:hRule="exact" w:val="355"/>
        </w:trPr>
        <w:tc>
          <w:tcPr>
            <w:tcW w:w="42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277"/>
        </w:trPr>
        <w:tc>
          <w:tcPr>
            <w:tcW w:w="42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6314">
        <w:trPr>
          <w:trHeight w:hRule="exact" w:val="138"/>
        </w:trPr>
        <w:tc>
          <w:tcPr>
            <w:tcW w:w="42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277"/>
        </w:trPr>
        <w:tc>
          <w:tcPr>
            <w:tcW w:w="42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 обучения очная</w:t>
            </w:r>
          </w:p>
        </w:tc>
        <w:tc>
          <w:tcPr>
            <w:tcW w:w="7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6314">
        <w:trPr>
          <w:trHeight w:hRule="exact" w:val="138"/>
        </w:trPr>
        <w:tc>
          <w:tcPr>
            <w:tcW w:w="42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277"/>
        </w:trPr>
        <w:tc>
          <w:tcPr>
            <w:tcW w:w="42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 ЗЕТ</w:t>
            </w:r>
          </w:p>
        </w:tc>
        <w:tc>
          <w:tcPr>
            <w:tcW w:w="58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416"/>
        </w:trPr>
        <w:tc>
          <w:tcPr>
            <w:tcW w:w="42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277"/>
        </w:trPr>
        <w:tc>
          <w:tcPr>
            <w:tcW w:w="42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7" w:type="dxa"/>
          </w:tcPr>
          <w:p w:rsidR="008F6314" w:rsidRDefault="008F6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314">
        <w:trPr>
          <w:trHeight w:hRule="exact" w:val="277"/>
        </w:trPr>
        <w:tc>
          <w:tcPr>
            <w:tcW w:w="42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138"/>
        </w:trPr>
        <w:tc>
          <w:tcPr>
            <w:tcW w:w="42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279"/>
        </w:trPr>
        <w:tc>
          <w:tcPr>
            <w:tcW w:w="429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Распределение часов дисциплины по курсам</w:t>
            </w:r>
          </w:p>
        </w:tc>
        <w:tc>
          <w:tcPr>
            <w:tcW w:w="176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76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122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76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176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507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Конт. ч. на аттест. 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76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176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176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</w:t>
            </w:r>
          </w:p>
        </w:tc>
        <w:tc>
          <w:tcPr>
            <w:tcW w:w="176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176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277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108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108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108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108</w:t>
            </w:r>
          </w:p>
        </w:tc>
        <w:tc>
          <w:tcPr>
            <w:tcW w:w="176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</w:tbl>
    <w:p w:rsidR="008F6314" w:rsidRDefault="001F2AE3">
      <w:pPr>
        <w:rPr>
          <w:rFonts w:ascii="Times New Roman" w:hAnsi="Times New Roman" w:cs="Times New Roman"/>
          <w:szCs w:val="0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0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804"/>
        <w:gridCol w:w="1065"/>
        <w:gridCol w:w="3719"/>
        <w:gridCol w:w="964"/>
      </w:tblGrid>
      <w:tr w:rsidR="008F6314">
        <w:trPr>
          <w:trHeight w:hRule="exact" w:val="277"/>
        </w:trPr>
        <w:tc>
          <w:tcPr>
            <w:tcW w:w="3722" w:type="dxa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Программу составил(и):</w:t>
            </w:r>
          </w:p>
        </w:tc>
        <w:tc>
          <w:tcPr>
            <w:tcW w:w="804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555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Д.ф.н., доцент, зав.каф. ФИН С.В. Соловьева</w:t>
            </w:r>
          </w:p>
        </w:tc>
      </w:tr>
      <w:tr w:rsidR="008F6314">
        <w:trPr>
          <w:trHeight w:hRule="exact" w:val="1944"/>
        </w:trPr>
        <w:tc>
          <w:tcPr>
            <w:tcW w:w="3722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277"/>
        </w:trPr>
        <w:tc>
          <w:tcPr>
            <w:tcW w:w="559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719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Философская антропология,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философия культуры</w:t>
            </w:r>
          </w:p>
        </w:tc>
      </w:tr>
      <w:tr w:rsidR="008F6314">
        <w:trPr>
          <w:trHeight w:hRule="exact" w:val="277"/>
        </w:trPr>
        <w:tc>
          <w:tcPr>
            <w:tcW w:w="3722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1935"/>
        </w:trPr>
        <w:tc>
          <w:tcPr>
            <w:tcW w:w="559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разработана в соответствии с 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ФГТ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 Министерства науки и высшего образования Российской Федерации от 20.10.2021 г. 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</w:p>
        </w:tc>
        <w:tc>
          <w:tcPr>
            <w:tcW w:w="3719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478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6314">
        <w:trPr>
          <w:trHeight w:hRule="exact" w:val="277"/>
        </w:trPr>
        <w:tc>
          <w:tcPr>
            <w:tcW w:w="3722" w:type="dxa"/>
          </w:tcPr>
          <w:p w:rsidR="008F6314" w:rsidRDefault="008F6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составлена на основании учебного плана: </w:t>
            </w:r>
          </w:p>
        </w:tc>
      </w:tr>
      <w:tr w:rsidR="008F6314">
        <w:trPr>
          <w:trHeight w:hRule="exact" w:val="555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научный специальность 5.7.8. Философская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антропология, философия культуры</w:t>
            </w:r>
          </w:p>
          <w:p w:rsidR="008F6314" w:rsidRDefault="008F63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314">
        <w:trPr>
          <w:trHeight w:hRule="exact" w:val="972"/>
        </w:trPr>
        <w:tc>
          <w:tcPr>
            <w:tcW w:w="3722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 программа одобрена на заседании кафедры</w:t>
            </w:r>
          </w:p>
        </w:tc>
      </w:tr>
      <w:tr w:rsidR="008F6314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«Философия и история науки»</w:t>
            </w:r>
          </w:p>
        </w:tc>
      </w:tr>
      <w:tr w:rsidR="008F6314">
        <w:trPr>
          <w:trHeight w:hRule="exact" w:val="138"/>
        </w:trPr>
        <w:tc>
          <w:tcPr>
            <w:tcW w:w="3722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694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Заведующая кафедрой: С.В. Соловьева</w:t>
            </w:r>
          </w:p>
        </w:tc>
      </w:tr>
    </w:tbl>
    <w:p w:rsidR="008F6314" w:rsidRDefault="001F2AE3">
      <w:pPr>
        <w:rPr>
          <w:rFonts w:ascii="Times New Roman" w:hAnsi="Times New Roman" w:cs="Times New Roman"/>
          <w:szCs w:val="0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2415"/>
        <w:gridCol w:w="1347"/>
        <w:gridCol w:w="1297"/>
        <w:gridCol w:w="1794"/>
        <w:gridCol w:w="920"/>
        <w:gridCol w:w="1638"/>
      </w:tblGrid>
      <w:tr w:rsidR="008F6314">
        <w:trPr>
          <w:trHeight w:hRule="exact" w:val="277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8F6314">
        <w:trPr>
          <w:trHeight w:hRule="exact" w:val="22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Целью освоения дисциплины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является формирование у аспирантов целостного и системного представления о природе человека, его сущностных характеристиках и способах бытия в культуре, об основных теоретических подходах к пониманию человека в истории философской мысли и современных конце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пциях философской антропологии и философии культуры. Освоение дисциплины направлено на овладение методологией философско-антропологического и культурфилософского анализа, включая интерпретацию феноменов человеческого существования, ценностно-смысловых стру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ктур культуры и их динамики. В ходе изучения дисциплины формируются способности к самостоятельной постановке и решению научно-исследовательских задач по научной специальности 5.7.7 «Философская антропология, философия культуры», включая разработку философс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кой проблемы, обоснование методологии исследования, а также представление и аргументацию результатов в академическом и диссертационном форматах.</w:t>
            </w:r>
          </w:p>
        </w:tc>
      </w:tr>
      <w:tr w:rsidR="008F6314">
        <w:trPr>
          <w:trHeight w:hRule="exact" w:val="277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 МЕСТО ДИСЦИПЛИНЫ (МОДУЛЯ) В СТРУКТУРЕ ОБРАЗОВАТЕЛЬНОЙ ПРОГРАММЫ</w:t>
            </w:r>
          </w:p>
        </w:tc>
      </w:tr>
      <w:tr w:rsidR="008F6314">
        <w:trPr>
          <w:trHeight w:hRule="exact" w:val="292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2.1.2 Дисциплины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(модули)</w:t>
            </w:r>
          </w:p>
        </w:tc>
      </w:tr>
      <w:tr w:rsidR="008F6314">
        <w:trPr>
          <w:trHeight w:hRule="exact" w:val="555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 ЗАДАЧИ ОСВОЕНИЯ ДИСЦИПЛИНЫ (МОДУЛЯ)</w:t>
            </w:r>
          </w:p>
        </w:tc>
      </w:tr>
      <w:tr w:rsidR="008F6314">
        <w:trPr>
          <w:trHeight w:hRule="exact" w:val="277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 результате освоения дисциплины (модуля) обучающийся должен сформировать</w:t>
            </w:r>
          </w:p>
        </w:tc>
      </w:tr>
      <w:tr w:rsidR="008F6314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Знание основных теоретических подходов к анализу сущности человека и феноменов культуры, концептуальных оснований философской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антропологии и философии культуры, включая классические и современные парадигмы понимания человека, его бытия в мире и способов культурной репрезентации.</w:t>
            </w: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Навыки постановки и проектирования философско-антропологического и культурфилософского исследован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ия: операционализация философских категорий, разработка концептуального аппарата, выбор исследовательской стратегии (феноменологической, герменевтической, структуралистской, постструктуралистской и др.), работа с первоисточниками и критической литературой.</w:t>
            </w: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3.3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Умения проводить анализ и интерпретацию текстов, культурных феноменов и антропологических практик (герменевтический анализ, феноменологическая редукция, компаративистский анализ, интерпретация культурных кодов и символических систем), формулировать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обоснованные выводы и представлять результаты в виде научных публикаций и докладов.</w:t>
            </w:r>
          </w:p>
        </w:tc>
      </w:tr>
      <w:tr w:rsidR="008F6314">
        <w:trPr>
          <w:trHeight w:hRule="exact" w:val="277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4. СТРУКТУРА И СОДЕРЖАНИЕ ДИСЦИПЛИНЫ (МОДУЛЯ)</w:t>
            </w:r>
          </w:p>
        </w:tc>
      </w:tr>
      <w:tr w:rsidR="008F6314">
        <w:trPr>
          <w:trHeight w:hRule="exact" w:val="5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 занятия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Наименование разделов и тем /вид занятия/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 / 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1. Философская антропология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Философская антропология в системе наук о человеке и современном философском знании. Природа и сущность человека. /Лек/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 парадигмы понимания человека в истории философии /Пр/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Философская антропология как школа: М. Шелер,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Х. Плеснер, А. Гелен /Ср/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Проблема антропогенеза и эволюции человека. Креационистские, эволюционистские и синергийные модели происхождения человека /Ср/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Философская антропология 20-нач.21 вв: между «антропологическим ренессансом» и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«смертью человека». /Лек/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Специфика человеческого бытия: деятельность, игра, творчество, труд /Пр/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Фундаментальные характеристики человека. Основополагающие феномены человеческого бытия /Лек/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1.9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Метафизика человеческого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существования: свобода, смерть, бессмертие, смысл жизни /Пр/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1.10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Антропологический кризис и перспективы человека (трансгуманизм, постчеловек) /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 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Феноменологическая и герменевтическая антропология /Ср/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1.12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Ценностно-смысловые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структуры личности. Совесть и моральное сознание /Ср/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2. Философия культуры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8F631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8F631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Философия культуры в системе научно-философского знания. Сущность и формы бытия культуры. Культура как мир человека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2.2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Феноменологический и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герменевтический, структуралистский и постструктуралистский подходы к изучению культуры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Морфология культуры: компоненты и структура культурного пространства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Культурогенез и антропогенез. Эволюция культурных форм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/Ср/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«Познавательные повороты» в исследованиях культуры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2.6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Культура и цивилизация. Типология культур и цивилизаций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/Пр/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2.7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Культурные конфликты и механизмы их преодоления. Природа и культура. Экология культуры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2.8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Массовая, элитарная и народная культура: взаимодействие и взаимовлияние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/Ср/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2.9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Современные теоретические парадигмы философии культуры /Ср/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2.10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Онтология культуры. Культурные формы как категории культуры /Лек/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Аксиология культуры: ценности и нормы в культурном пространстве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2.12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Цифровая культура и медиареальность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8F6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3. Самостоятельная работа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8F6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8F6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экзамену /Ср/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лекциям /Ср/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практическим занятиям /Ср/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8F6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4. Контактные часы на аттестацию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8F6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8F6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 /КЭ/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</w:tr>
      <w:tr w:rsidR="008F6314">
        <w:trPr>
          <w:trHeight w:hRule="exact" w:val="416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 w:rsidR="008F6314">
        <w:trPr>
          <w:trHeight w:hRule="exact" w:val="2083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Оценочные материалы для проведения промежуточной аттестации обучающихся приведены в приложении к рабочей программе дисциплины.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ом занятии.</w:t>
            </w:r>
          </w:p>
          <w:p w:rsidR="008F6314" w:rsidRDefault="001F2A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работы обучающихся. Для фиксирования результатов текущего контроля может использоваться ЭИОС.</w:t>
            </w:r>
          </w:p>
        </w:tc>
      </w:tr>
      <w:tr w:rsidR="008F6314">
        <w:trPr>
          <w:trHeight w:hRule="exact" w:val="277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 УЧЕБНО-МЕТОДИЧЕСКОЕ И ИНФОРМАЦИОННОЕ ОБЕСПЕЧЕНИЕ ДИСЦИПЛИНЫ (МОДУЛЯ)</w:t>
            </w:r>
          </w:p>
        </w:tc>
      </w:tr>
      <w:tr w:rsidR="008F6314">
        <w:trPr>
          <w:trHeight w:hRule="exact" w:val="277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8F6314">
        <w:trPr>
          <w:trHeight w:hRule="exact" w:val="277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6.1.1. Основная литература</w:t>
            </w:r>
          </w:p>
        </w:tc>
      </w:tr>
      <w:tr w:rsidR="008F6314">
        <w:trPr>
          <w:trHeight w:hRule="exact" w:val="7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 тво,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8F6314" w:rsidRPr="001F2A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Гуревич, П. С.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Философская антропология в 2 т. Том 1 : учебник для вузов / П. С. Гуревич. — 3-е изд., испр. и доп. — Москва : Издательство Юрайт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2026. — 310 с. — (Высшее образование). — ISBN 978-5-534-08951-6. — Текст : электронный //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Образовательная платформа Юрайт [сайт].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Москва : Издательство Юрайт, 2026.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Pr="001F2AE3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URL: </w:t>
            </w:r>
            <w:r>
              <w:fldChar w:fldCharType="begin"/>
            </w:r>
            <w:r w:rsidRPr="001F2AE3">
              <w:rPr>
                <w:lang w:val="en-US"/>
              </w:rPr>
              <w:instrText xml:space="preserve">HYPERLINK "https://urait.ru/bcode/598660" </w:instrText>
            </w:r>
            <w:r>
              <w:fldChar w:fldCharType="separate"/>
            </w:r>
            <w:r>
              <w:rPr>
                <w:rStyle w:val="aff"/>
                <w:rFonts w:ascii="Times New Roman" w:hAnsi="Times New Roman" w:cs="Times New Roman"/>
                <w:sz w:val="19"/>
                <w:szCs w:val="19"/>
                <w:lang w:val="en-GB"/>
              </w:rPr>
              <w:t>https://urait.ru/bcode/598660</w:t>
            </w:r>
            <w:r>
              <w:fldChar w:fldCharType="end"/>
            </w:r>
          </w:p>
          <w:p w:rsidR="008F6314" w:rsidRDefault="008F631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</w:tc>
      </w:tr>
      <w:tr w:rsidR="008F6314" w:rsidRPr="001F2A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9"/>
                <w:szCs w:val="19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Гуревич, П. С.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Философская антропология в 2 т. Том 2 : учебник для вузов / П. С. Гуревич. — 3-е изд., испр. и доп. — Москва : Издательство Юрайт, 2026. — 165 с. — (Высшее образование). — ISBN 978-5-534-08953-0. — Текст : электронный // Образовательная пла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тформа Юрайт [сайт].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Москва : Издательство Юрайт, 2026.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Pr="001F2AE3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URL: </w:t>
            </w:r>
            <w:r>
              <w:fldChar w:fldCharType="begin"/>
            </w:r>
            <w:r w:rsidRPr="001F2AE3">
              <w:rPr>
                <w:lang w:val="en-US"/>
              </w:rPr>
              <w:instrText xml:space="preserve">HYPERLINK "https://urait.ru/bcode/598716" </w:instrText>
            </w:r>
            <w:r>
              <w:fldChar w:fldCharType="separate"/>
            </w:r>
            <w:r>
              <w:rPr>
                <w:rStyle w:val="aff"/>
                <w:rFonts w:ascii="Times New Roman" w:hAnsi="Times New Roman" w:cs="Times New Roman"/>
                <w:sz w:val="19"/>
                <w:szCs w:val="19"/>
                <w:lang w:val="en-GB"/>
              </w:rPr>
              <w:t>https://urait.ru/bcode/598716</w:t>
            </w:r>
            <w:r>
              <w:fldChar w:fldCharType="end"/>
            </w:r>
          </w:p>
          <w:p w:rsidR="008F6314" w:rsidRPr="001F2AE3" w:rsidRDefault="008F631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8F6314" w:rsidRPr="001F2A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Пивоев, В. М.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Философия культуры : учебник для вузов / В. М. Пивоев. — 5-е изд., перераб. и доп. — Москва 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Издательство Юрайт, 2026. — 369 с. — (Высшее образование). — ISBN 978-5-534-14086-6. — Текст : электронный // Образовательная платформа Юрайт [сайт].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Москва : Издательство Юрайт, 2026.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URL: </w:t>
            </w:r>
            <w:hyperlink r:id="rId5" w:history="1">
              <w:r>
                <w:rPr>
                  <w:rStyle w:val="aff"/>
                  <w:rFonts w:ascii="Times New Roman" w:hAnsi="Times New Roman" w:cs="Times New Roman"/>
                  <w:sz w:val="19"/>
                  <w:szCs w:val="19"/>
                  <w:lang w:val="en-GB"/>
                </w:rPr>
                <w:t>https://urait.ru/bcode/588195</w:t>
              </w:r>
            </w:hyperlink>
          </w:p>
        </w:tc>
      </w:tr>
      <w:tr w:rsidR="008F6314">
        <w:trPr>
          <w:trHeight w:hRule="exact" w:val="422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6.1.2. Дополнительная литература</w:t>
            </w:r>
          </w:p>
        </w:tc>
      </w:tr>
      <w:tr w:rsidR="008F6314">
        <w:trPr>
          <w:trHeight w:hRule="exact" w:val="5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8F6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 тво,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8F6314" w:rsidRPr="001F2A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Л2.1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Степанова, Д. М.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Философия культуры : учебник для вузов / Д. М. Степанова. — 2-е изд., доп. — Москва : Издательство Юрайт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2026. — 106 с. — (Высшее образование). — ISBN 978-5-534-14527-4. — Текст : электронный // Образовательная платформа Юрайт [сайт].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Москва : Издательство Юрайт, 2026.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9"/>
                <w:lang w:val="en-GB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URL: </w:t>
            </w:r>
            <w:hyperlink r:id="rId6" w:history="1">
              <w:r>
                <w:rPr>
                  <w:rStyle w:val="aff"/>
                  <w:rFonts w:ascii="Times New Roman" w:hAnsi="Times New Roman" w:cs="Times New Roman"/>
                  <w:sz w:val="19"/>
                  <w:szCs w:val="19"/>
                  <w:lang w:val="en-GB"/>
                </w:rPr>
                <w:t>https://urait.ru/bcode/588629</w:t>
              </w:r>
            </w:hyperlink>
          </w:p>
        </w:tc>
      </w:tr>
      <w:tr w:rsidR="008F6314" w:rsidRPr="001F2A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Каган, М. С.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Философия культуры : учебник для вузов / М. С. Каган. — Москва : Издательство Юрайт, 2026. — 353 с. — (Высшее образование). — ISBN 978-5-534-06178-9. — Текст : электронный // Образовательная платформа Юрайт [сайт].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Москва : Издательство Юрайт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2026.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URL: </w:t>
            </w:r>
            <w:r>
              <w:fldChar w:fldCharType="begin"/>
            </w:r>
            <w:r w:rsidRPr="001F2AE3">
              <w:rPr>
                <w:lang w:val="en-US"/>
              </w:rPr>
              <w:instrText xml:space="preserve">HYPERLINK "https://urait.ru/bcode/598694" </w:instrText>
            </w:r>
            <w:r>
              <w:fldChar w:fldCharType="separate"/>
            </w:r>
            <w:r>
              <w:rPr>
                <w:rStyle w:val="aff"/>
                <w:rFonts w:ascii="Times New Roman" w:hAnsi="Times New Roman" w:cs="Times New Roman"/>
                <w:sz w:val="19"/>
                <w:szCs w:val="19"/>
                <w:lang w:val="en-GB"/>
              </w:rPr>
              <w:t>https://urait.ru/bcode/598694</w:t>
            </w:r>
            <w:r>
              <w:fldChar w:fldCharType="end"/>
            </w:r>
          </w:p>
        </w:tc>
      </w:tr>
      <w:tr w:rsidR="008F6314">
        <w:trPr>
          <w:trHeight w:hRule="exact" w:val="581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8F6314">
        <w:trPr>
          <w:trHeight w:hRule="exact" w:val="277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6.2.1 Перечень лицензионного и свободно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распространяемого программного обеспечения</w:t>
            </w:r>
          </w:p>
        </w:tc>
      </w:tr>
      <w:tr w:rsidR="008F6314">
        <w:trPr>
          <w:trHeight w:hRule="exact" w:val="2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7-zip</w:t>
            </w:r>
          </w:p>
        </w:tc>
      </w:tr>
      <w:tr w:rsidR="008F6314">
        <w:trPr>
          <w:trHeight w:hRule="exact" w:val="2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Adobe Reader</w:t>
            </w:r>
          </w:p>
        </w:tc>
      </w:tr>
      <w:tr w:rsidR="008F6314">
        <w:trPr>
          <w:trHeight w:hRule="exact" w:val="2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6.2.1.3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IrfanView</w:t>
            </w:r>
          </w:p>
        </w:tc>
      </w:tr>
      <w:tr w:rsidR="008F6314">
        <w:trPr>
          <w:trHeight w:hRule="exact" w:val="2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6.2.1.4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2010 Professional</w:t>
            </w:r>
          </w:p>
        </w:tc>
      </w:tr>
      <w:tr w:rsidR="008F6314">
        <w:trPr>
          <w:trHeight w:hRule="exact" w:val="2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6.2.1.5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2013</w:t>
            </w:r>
          </w:p>
        </w:tc>
      </w:tr>
      <w:tr w:rsidR="008F6314">
        <w:trPr>
          <w:trHeight w:hRule="exact" w:val="2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6.2.1.6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2013 Professional</w:t>
            </w:r>
          </w:p>
        </w:tc>
      </w:tr>
      <w:tr w:rsidR="008F6314">
        <w:trPr>
          <w:trHeight w:hRule="exact" w:val="2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6.2.1.7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Professional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Plus 2013</w:t>
            </w:r>
          </w:p>
        </w:tc>
      </w:tr>
      <w:tr w:rsidR="008F6314">
        <w:trPr>
          <w:trHeight w:hRule="exact" w:val="2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6.2.1.8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Professional Plus 2016</w:t>
            </w:r>
          </w:p>
        </w:tc>
      </w:tr>
      <w:tr w:rsidR="008F6314">
        <w:trPr>
          <w:trHeight w:hRule="exact" w:val="2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6.2.1.9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10 Pro</w:t>
            </w:r>
          </w:p>
        </w:tc>
      </w:tr>
      <w:tr w:rsidR="008F6314">
        <w:trPr>
          <w:trHeight w:hRule="exact" w:val="2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6.2.1.10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7</w:t>
            </w:r>
          </w:p>
        </w:tc>
      </w:tr>
      <w:tr w:rsidR="008F6314">
        <w:trPr>
          <w:trHeight w:hRule="exact" w:val="2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8</w:t>
            </w:r>
          </w:p>
        </w:tc>
      </w:tr>
      <w:tr w:rsidR="008F6314">
        <w:trPr>
          <w:trHeight w:hRule="exact" w:val="2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8.1</w:t>
            </w:r>
          </w:p>
        </w:tc>
      </w:tr>
      <w:tr w:rsidR="008F6314">
        <w:trPr>
          <w:trHeight w:hRule="exact" w:val="2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6.2.1.13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Professional 8</w:t>
            </w:r>
          </w:p>
        </w:tc>
      </w:tr>
      <w:tr w:rsidR="008F6314">
        <w:trPr>
          <w:trHeight w:hRule="exact" w:val="3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6.2.1.14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Professional 8 Russian</w:t>
            </w:r>
          </w:p>
        </w:tc>
      </w:tr>
      <w:tr w:rsidR="008F6314">
        <w:trPr>
          <w:trHeight w:hRule="exact" w:val="3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6.2.1.15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OpenOffice 3.1</w:t>
            </w:r>
          </w:p>
        </w:tc>
      </w:tr>
      <w:tr w:rsidR="008F6314">
        <w:trPr>
          <w:trHeight w:hRule="exact" w:val="3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6.2.1.16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Комплект ПО Microsoft</w:t>
            </w:r>
          </w:p>
        </w:tc>
      </w:tr>
      <w:tr w:rsidR="008F6314">
        <w:trPr>
          <w:trHeight w:hRule="exact" w:val="2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6.2.1.17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Антивирус Касперского</w:t>
            </w:r>
          </w:p>
        </w:tc>
      </w:tr>
      <w:tr w:rsidR="008F6314">
        <w:trPr>
          <w:trHeight w:hRule="exact" w:val="277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6.2.2 Перечень профессиональных баз данных и  информационных справочных систем</w:t>
            </w:r>
          </w:p>
        </w:tc>
      </w:tr>
      <w:tr w:rsidR="008F6314">
        <w:trPr>
          <w:trHeight w:hRule="exact" w:val="2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Информационная справочная система "Гарант" </w:t>
            </w:r>
            <w:hyperlink r:id="rId7" w:history="1">
              <w:r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http://www.garant.ru</w:t>
              </w:r>
            </w:hyperlink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8F6314">
        <w:trPr>
          <w:trHeight w:hRule="exact" w:val="2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Информационная справочная система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КонсультантПлюс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" </w:t>
            </w:r>
            <w:hyperlink r:id="rId8" w:history="1">
              <w:r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http://www.consultant.ru</w:t>
              </w:r>
            </w:hyperlink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8F6314">
        <w:trPr>
          <w:trHeight w:hRule="exact" w:val="4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6.2.2.3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Электронная библиотека Института философии РАН РФ. </w:t>
            </w:r>
            <w:hyperlink r:id="rId9" w:history="1">
              <w:r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https://iphlib.ru/library</w:t>
              </w:r>
            </w:hyperlink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8F6314">
        <w:trPr>
          <w:trHeight w:hRule="exact" w:val="2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6.2.2.4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Научная электронная библиотека </w:t>
            </w:r>
            <w:hyperlink r:id="rId10" w:history="1">
              <w:r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https://elibrary.ru/</w:t>
              </w:r>
            </w:hyperlink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8F6314">
        <w:trPr>
          <w:trHeight w:hRule="exact" w:val="277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7. МАТЕРИАЛЬНО-ТЕХНИЧЕСКОЕ ОБЕСПЕЧЕНИЕ ДИСЦИПЛИНЫ (МОДУЛЯ)</w:t>
            </w: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Учебная аудитория для проведения занятий всех видов, предусмотренных образовательной программой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№ 9311 </w:t>
            </w:r>
          </w:p>
          <w:p w:rsidR="008F6314" w:rsidRDefault="001F2AE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Оборудование: </w:t>
            </w:r>
          </w:p>
          <w:p w:rsidR="008F6314" w:rsidRDefault="001F2AE3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-стол ученический - 15 шт., </w:t>
            </w:r>
          </w:p>
          <w:p w:rsidR="008F6314" w:rsidRDefault="001F2AE3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- стул - 30 шт. </w:t>
            </w:r>
          </w:p>
          <w:p w:rsidR="008F6314" w:rsidRDefault="001F2AE3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- стол преподавателя – 1 шт., </w:t>
            </w:r>
          </w:p>
          <w:p w:rsidR="008F6314" w:rsidRDefault="001F2AE3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 стул преподавателя – 1 шт.,</w:t>
            </w:r>
          </w:p>
          <w:p w:rsidR="008F6314" w:rsidRDefault="001F2AE3">
            <w:pPr>
              <w:spacing w:after="0" w:line="228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Технические средства обучения: </w:t>
            </w:r>
          </w:p>
          <w:p w:rsidR="008F6314" w:rsidRDefault="001F2AE3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- компьютер в сборе – 15 шт., </w:t>
            </w:r>
          </w:p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 мультимедийный проектор – 1 шт.</w:t>
            </w:r>
          </w:p>
        </w:tc>
      </w:tr>
      <w:tr w:rsidR="008F631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6314" w:rsidRDefault="001F2AE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Помещение для самостоятельной работы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№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9322 </w:t>
            </w:r>
          </w:p>
          <w:p w:rsidR="008F6314" w:rsidRDefault="001F2AE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Оборудование: </w:t>
            </w:r>
          </w:p>
          <w:p w:rsidR="008F6314" w:rsidRDefault="001F2AE3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 доска учебная – 1 шт.;</w:t>
            </w:r>
          </w:p>
          <w:p w:rsidR="008F6314" w:rsidRDefault="001F2AE3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- стол ученический - 12 шт., </w:t>
            </w:r>
          </w:p>
          <w:p w:rsidR="008F6314" w:rsidRDefault="001F2AE3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- стул - 24 шт. </w:t>
            </w:r>
          </w:p>
          <w:p w:rsidR="008F6314" w:rsidRDefault="001F2AE3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- стол преподавателя – 1 шт., </w:t>
            </w:r>
          </w:p>
          <w:p w:rsidR="008F6314" w:rsidRDefault="001F2AE3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- стул преподавателя – 1 шт., </w:t>
            </w:r>
          </w:p>
          <w:p w:rsidR="008F6314" w:rsidRDefault="001F2AE3">
            <w:pPr>
              <w:spacing w:after="0" w:line="228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Технические средства обучения: </w:t>
            </w:r>
          </w:p>
          <w:p w:rsidR="008F6314" w:rsidRDefault="001F2AE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:rsidR="008F6314" w:rsidRDefault="008F6314">
      <w:pPr>
        <w:rPr>
          <w:rFonts w:ascii="Times New Roman" w:hAnsi="Times New Roman" w:cs="Times New Roman"/>
        </w:rPr>
      </w:pPr>
    </w:p>
    <w:sectPr w:rsidR="008F6314">
      <w:pgSz w:w="11907" w:h="16840"/>
      <w:pgMar w:top="567" w:right="567" w:bottom="127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26440"/>
    <w:rsid w:val="00035E4B"/>
    <w:rsid w:val="00035E85"/>
    <w:rsid w:val="00043E93"/>
    <w:rsid w:val="000521BE"/>
    <w:rsid w:val="000C461B"/>
    <w:rsid w:val="000D06EB"/>
    <w:rsid w:val="000D1C38"/>
    <w:rsid w:val="000D251A"/>
    <w:rsid w:val="000E1701"/>
    <w:rsid w:val="0013093A"/>
    <w:rsid w:val="001572D5"/>
    <w:rsid w:val="001867E8"/>
    <w:rsid w:val="001C3284"/>
    <w:rsid w:val="001E26F2"/>
    <w:rsid w:val="001E4722"/>
    <w:rsid w:val="001F0BC7"/>
    <w:rsid w:val="001F2AE3"/>
    <w:rsid w:val="00211C35"/>
    <w:rsid w:val="00262CE3"/>
    <w:rsid w:val="00272866"/>
    <w:rsid w:val="0028374A"/>
    <w:rsid w:val="00284F4B"/>
    <w:rsid w:val="002C739E"/>
    <w:rsid w:val="002D2915"/>
    <w:rsid w:val="00387DE1"/>
    <w:rsid w:val="003E49E0"/>
    <w:rsid w:val="00424B3B"/>
    <w:rsid w:val="0044634C"/>
    <w:rsid w:val="004937EF"/>
    <w:rsid w:val="00497002"/>
    <w:rsid w:val="004C3CF5"/>
    <w:rsid w:val="004D68A2"/>
    <w:rsid w:val="005120DA"/>
    <w:rsid w:val="00540A7D"/>
    <w:rsid w:val="0055273E"/>
    <w:rsid w:val="00567017"/>
    <w:rsid w:val="005D6429"/>
    <w:rsid w:val="00623AAC"/>
    <w:rsid w:val="00670CC5"/>
    <w:rsid w:val="00761900"/>
    <w:rsid w:val="0079244C"/>
    <w:rsid w:val="007B486B"/>
    <w:rsid w:val="0089527A"/>
    <w:rsid w:val="008A629B"/>
    <w:rsid w:val="008B29F8"/>
    <w:rsid w:val="008B70E7"/>
    <w:rsid w:val="008F6314"/>
    <w:rsid w:val="0091294E"/>
    <w:rsid w:val="00976F8A"/>
    <w:rsid w:val="009A1387"/>
    <w:rsid w:val="009A14AA"/>
    <w:rsid w:val="00A231CB"/>
    <w:rsid w:val="00A23F94"/>
    <w:rsid w:val="00A3135E"/>
    <w:rsid w:val="00A843AF"/>
    <w:rsid w:val="00A95399"/>
    <w:rsid w:val="00B3167A"/>
    <w:rsid w:val="00B34625"/>
    <w:rsid w:val="00B43140"/>
    <w:rsid w:val="00B84E3C"/>
    <w:rsid w:val="00BC591B"/>
    <w:rsid w:val="00C15622"/>
    <w:rsid w:val="00C15C13"/>
    <w:rsid w:val="00C33BF1"/>
    <w:rsid w:val="00C418AA"/>
    <w:rsid w:val="00CB152D"/>
    <w:rsid w:val="00CE26B7"/>
    <w:rsid w:val="00D1096E"/>
    <w:rsid w:val="00D14057"/>
    <w:rsid w:val="00D31453"/>
    <w:rsid w:val="00D96A31"/>
    <w:rsid w:val="00E209E2"/>
    <w:rsid w:val="00E308E1"/>
    <w:rsid w:val="00E70869"/>
    <w:rsid w:val="00EC0766"/>
    <w:rsid w:val="00ED1701"/>
    <w:rsid w:val="00F143C8"/>
    <w:rsid w:val="00F337C9"/>
    <w:rsid w:val="00F4024D"/>
    <w:rsid w:val="00F41A6E"/>
    <w:rsid w:val="00F71E8B"/>
    <w:rsid w:val="00F82CDF"/>
    <w:rsid w:val="00FD4AA6"/>
    <w:rsid w:val="00FE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FBA473-39B9-4710-BAB0-837078AE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ff">
    <w:name w:val="Hyperlink"/>
    <w:basedOn w:val="a0"/>
    <w:uiPriority w:val="99"/>
    <w:unhideWhenUsed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uiPriority w:val="99"/>
    <w:rPr>
      <w:rFonts w:ascii="Calibri" w:eastAsia="Times New Roman" w:hAnsi="Calibri" w:cs="Times New Roman"/>
      <w:lang w:val="ru-RU" w:eastAsia="ru-RU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hAnsi="Tahoma" w:cs="Tahoma"/>
      <w:sz w:val="16"/>
      <w:szCs w:val="16"/>
    </w:rPr>
  </w:style>
  <w:style w:type="character" w:styleId="aff2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r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ait.ru/bcode/58862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rait.ru/bcode/588195" TargetMode="External"/><Relationship Id="rId10" Type="http://schemas.openxmlformats.org/officeDocument/2006/relationships/hyperlink" Target="https://elibrary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phlib.ru/libr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1357</Words>
  <Characters>10093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2021-2022_38_04_02-21-1-МЛм_plz_plx_Проектно-процессное управление</vt:lpstr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2021-2022_38_04_02-21-1-МЛм_plz_plx_Проектно-процессное управление</dc:title>
  <dc:creator>FastReport.NET</dc:creator>
  <cp:lastModifiedBy>Муковнина Наталья Анатольевна</cp:lastModifiedBy>
  <cp:revision>2</cp:revision>
  <dcterms:created xsi:type="dcterms:W3CDTF">2026-03-02T07:43:00Z</dcterms:created>
  <dcterms:modified xsi:type="dcterms:W3CDTF">2026-03-02T07:44:00Z</dcterms:modified>
</cp:coreProperties>
</file>