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1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426"/>
        <w:gridCol w:w="285"/>
        <w:gridCol w:w="1142"/>
        <w:gridCol w:w="607"/>
        <w:gridCol w:w="259"/>
        <w:gridCol w:w="143"/>
        <w:gridCol w:w="204"/>
        <w:gridCol w:w="607"/>
        <w:gridCol w:w="769"/>
        <w:gridCol w:w="20"/>
        <w:gridCol w:w="5744"/>
      </w:tblGrid>
      <w:tr>
        <w:trPr>
          <w:tblHeader w:val="0"/>
          <w:cantSplit w:val="0"/>
          <w:trHeight w:val="2835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/>
              <w:jc w:val="center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/>
            <w:r>
              <w:rPr>
                <w:noProof/>
              </w:rPr>
              <w:drawing>
                <wp:inline distT="0" distB="0" distL="0" distR="0">
                  <wp:extent cx="847725" cy="6572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4_hCW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EAAAAAAAAAAAAAAAAAAAAAAAAAAAAAAAAAAAA3BQAACwQ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572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/>
              <w:jc w:val="center"/>
              <w:widowContro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МИНИСТЕРСТВО ТРАНСПОРТА РОССИЙСКОЙ ФЕДЕРАЦИИ</w:t>
            </w:r>
          </w:p>
          <w:p>
            <w:pPr>
              <w:spacing w:after="0"/>
              <w:jc w:val="center"/>
              <w:widowContro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ФЕДЕРАЛЬНОЕ АГЕНТСТВО ЖЕЛЕЗНОДОРОЖНОГО ТРАНСПОРТА</w:t>
            </w:r>
          </w:p>
          <w:p>
            <w:pPr>
              <w:spacing w:after="0"/>
              <w:jc w:val="center"/>
              <w:widowContro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  <w:p>
            <w:pPr>
              <w:spacing w:after="0"/>
              <w:jc w:val="center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ПРИВОЛЖСКИЙ ГОСУДАРСТВЕННЫЙ УНИВЕРСИТЕТ ПУТЕЙ СООБЩЕНИЯ</w:t>
            </w:r>
          </w:p>
          <w:p>
            <w:pPr>
              <w:spacing w:after="0" w:line="240" w:lineRule="auto"/>
              <w:jc w:val="center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(ПривГУПС)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80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11"/>
            <w:vMerge w:val="restart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11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/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11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/>
        </w:tc>
      </w:tr>
      <w:tr>
        <w:trPr>
          <w:tblHeader w:val="0"/>
          <w:cantSplit w:val="0"/>
          <w:trHeight w:val="186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990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Проектирование научных исследований</w:t>
            </w:r>
            <w:r>
              <w:rPr>
                <w:rFonts w:ascii="Times New Roman" w:hAnsi="Times New Roman"/>
                <w:sz w:val="40"/>
                <w:szCs w:val="40"/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10206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rFonts w:ascii="Times New Roman" w:hAnsi="Times New Roman"/>
                <w:sz w:val="36"/>
                <w:szCs w:val="36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80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Style w:val="char3"/>
                <w:rFonts w:ascii="Times New Roman" w:hAnsi="Times New Roman" w:eastAsia="Times New Roman"/>
                <w:kern w:val="1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Научная специальность</w:t>
            </w:r>
            <w:r>
              <w:rPr>
                <w:rFonts w:ascii="Times New Roman" w:hAnsi="Times New Roman"/>
                <w:color w:val="000000"/>
                <w:sz w:val="24"/>
                <w:szCs w:val="19"/>
                <w:lang w:val="ru-ru"/>
              </w:rPr>
              <w:t xml:space="preserve"> </w:t>
            </w:r>
            <w:r>
              <w:rPr>
                <w:rStyle w:val="char3"/>
                <w:rFonts w:ascii="Times New Roman" w:hAnsi="Times New Roman" w:eastAsia="Times New Roman"/>
                <w:kern w:val="1"/>
              </w:rPr>
              <w:t>5.9.6. Языки народов зарубежных стран (германские языки)</w:t>
            </w:r>
            <w:r>
              <w:rPr>
                <w:rStyle w:val="char3"/>
                <w:rFonts w:ascii="Times New Roman" w:hAnsi="Times New Roman" w:eastAsia="Times New Roman"/>
                <w:kern w:val="1"/>
              </w:rPr>
            </w:r>
          </w:p>
        </w:tc>
      </w:tr>
      <w:tr>
        <w:trPr>
          <w:tblHeader w:val="0"/>
          <w:cantSplit w:val="0"/>
          <w:trHeight w:val="3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43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Квалификация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34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3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34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очная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9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2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ЗЕТ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016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Виды контроля  в семестрах: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31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зачеты 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2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69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74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4442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727" w:hRule="exact"/>
        </w:trPr>
        <w:tc>
          <w:tcPr>
            <w:tcW w:w="185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Семестр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213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 (1.1)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76" w:type="dxa"/>
            <w:gridSpan w:val="2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213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16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76" w:type="dxa"/>
            <w:gridSpan w:val="2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/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rFonts w:ascii="Times New Roman" w:hAnsi="Times New Roman"/>
                <w:sz w:val="13"/>
                <w:szCs w:val="13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/>
            <w:r>
              <w:t>4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/>
            <w:r>
              <w:t>4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/>
            <w:r>
              <w:t>4</w:t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/>
            <w:r>
              <w:t>4</w:t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/>
            <w:r>
              <w:t>0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/>
            <w:r>
              <w:t>0</w:t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/>
            <w:r>
              <w:t>0</w:t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Конт. ч. на аттест.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зачёту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85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606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76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57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-34" w:type="dxa"/>
        <w:tblW w:w="10274" w:type="dxa"/>
        <w:tblLook w:val="04A0" w:firstRow="1" w:lastRow="0" w:firstColumn="1" w:lastColumn="0" w:noHBand="0" w:noVBand="1"/>
      </w:tblPr>
      <w:tblGrid>
        <w:gridCol w:w="1064"/>
        <w:gridCol w:w="2656"/>
        <w:gridCol w:w="804"/>
        <w:gridCol w:w="261"/>
        <w:gridCol w:w="803"/>
        <w:gridCol w:w="3721"/>
        <w:gridCol w:w="965"/>
      </w:tblGrid>
      <w:tr>
        <w:trPr>
          <w:tblHeader w:val="0"/>
          <w:cantSplit w:val="0"/>
          <w:trHeight w:val="416" w:hRule="exact"/>
        </w:trPr>
        <w:tc>
          <w:tcPr>
            <w:tcW w:w="106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21" w:type="dxa"/>
            <w:gridSpan w:val="3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доктор философских наук, доцент Соловьева С.В.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1944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Проектирование научных исследований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360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ФГТ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Style w:val="char3"/>
                <w:kern w:val="1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Style w:val="char3"/>
                <w:rFonts w:ascii="Times New Roman" w:hAnsi="Times New Roman" w:eastAsia="Times New Roman"/>
                <w:kern w:val="1"/>
                <w:sz w:val="19"/>
                <w:szCs w:val="19"/>
              </w:rPr>
              <w:t>5.9.6. Языки народов зарубежных стран (германские языки)</w:t>
            </w:r>
            <w:r>
              <w:rPr>
                <w:rStyle w:val="char3"/>
                <w:kern w:val="1"/>
              </w:rPr>
            </w:r>
          </w:p>
        </w:tc>
      </w:tr>
      <w:tr>
        <w:trPr>
          <w:tblHeader w:val="0"/>
          <w:cantSplit w:val="0"/>
          <w:trHeight w:val="972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Философия и история науки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694" w:hRule="auto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Зав. кафедрой   доктор философских наук, доцент Соловьева С.В.</w:t>
            </w:r>
          </w:p>
        </w:tc>
      </w:tr>
    </w:tbl>
    <w:tbl>
      <w:tblPr>
        <w:tblStyle w:val="NormalTable"/>
        <w:name w:val="Таблица3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547"/>
        <w:gridCol w:w="57"/>
        <w:gridCol w:w="113"/>
        <w:gridCol w:w="41"/>
        <w:gridCol w:w="15"/>
        <w:gridCol w:w="885"/>
        <w:gridCol w:w="414"/>
        <w:gridCol w:w="793"/>
        <w:gridCol w:w="2161"/>
        <w:gridCol w:w="225"/>
        <w:gridCol w:w="420"/>
        <w:gridCol w:w="861"/>
        <w:gridCol w:w="48"/>
        <w:gridCol w:w="127"/>
        <w:gridCol w:w="301"/>
        <w:gridCol w:w="744"/>
        <w:gridCol w:w="165"/>
        <w:gridCol w:w="2269"/>
        <w:gridCol w:w="88"/>
      </w:tblGrid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>
        <w:trPr>
          <w:tblHeader w:val="0"/>
          <w:cantSplit w:val="0"/>
          <w:trHeight w:val="1166" w:hRule="exact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 xml:space="preserve">Дисциплина </w:t>
            </w:r>
            <w:r>
              <w:rPr>
                <w:rFonts w:ascii="Segoe UI" w:hAnsi="Segoe UI" w:cs="Segoe UI"/>
                <w:color w:val="0f1115"/>
                <w:shd w:val="clear" w:fill="ffffff"/>
                <w:lang w:val="ru-ru"/>
              </w:rPr>
              <w:t>«Проектирование научных исследований» предназначена для изучения обучающимися по всем направлениям подготовки аспирантуры; целью её освоения является формирование у аспирантов методологической культуры, системы знаний, умений и навыков в области проектирования, организации и рефлексии научного исследования, а также развитие способности к критической оценке собственной исследовательской деятельности</w:t>
            </w:r>
            <w:r>
              <w:rPr>
                <w:rFonts w:ascii="Times New Roman" w:hAnsi="Times New Roman"/>
                <w:sz w:val="20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направлена на получение знаний в области методологии и методики проведения научных исследований.</w:t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92" w:hRule="exact"/>
        </w:trPr>
        <w:tc>
          <w:tcPr>
            <w:tcW w:w="2865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321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2.1.5.2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186" w:type="dxa"/>
            <w:gridSpan w:val="18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nil" w:sz="0" w:space="0" w:color="000000" tmln="20, 20, 20, 0, 0"/>
              <w:bottom w:val="nil" w:sz="0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методологические и теоретические основы проектирования научного исследования, его логику и структуру (фазы: проектирование, технологическая, рефлексивная);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требования к постановке научной проблемы, формулированию гипотезы, определению объекта, предмета и темы исследования;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критерии достоверности результатов теоретического и эмпирического этапов, основные формы представления и апробации результатов.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Уметь: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выявлять научное противоречие, формулировать научную проблему, определять объект, предмет и тему исследования;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строить проверяемую гипотезу, оценивать её состоятельность, разрабатывать методику исследования, выбирать адекватные подходы и методы;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планировать эмпирический этап, диагностировать готовность к переходу от теории к эмпирике, оформлять и апробировать результаты.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Владеть: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</w:rPr>
              <w:t>навыками проектирования научного исследования;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методами критического анализа научной литературы и построения логической структуры теории;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3.3.3</w:t>
            </w:r>
          </w:p>
        </w:tc>
        <w:tc>
          <w:tcPr>
            <w:tcW w:w="9413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f1115"/>
                <w:sz w:val="20"/>
                <w:szCs w:val="20"/>
                <w:shd w:val="clear" w:fill="ffffff"/>
                <w:lang w:val="ru-ru"/>
              </w:rPr>
              <w:t>технологией рефлексивной оценки собственной исследовательской деятельности и способами публичной апробации и научной коммуникации.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476" w:hRule="exact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47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5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2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349" w:hRule="atLeast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47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Раздел 1.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Проектирование научного исследования как вид профессиональной деятельности ученого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5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2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47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lang w:val="ru-ru"/>
              </w:rPr>
              <w:t xml:space="preserve">Научное исследование как цикл деятельности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/Лек.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56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21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47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lang w:val="ru-ru"/>
              </w:rPr>
              <w:t>Три фазы научного исследования: проектирование, технологическая, рефлексивная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/Лек.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56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21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447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2. Содержание этапов в проектировании научного исследования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56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21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lang w:val="ru-ru"/>
              </w:rPr>
              <w:t>Научная проблема: определение, постановка и алгоритм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/Лек.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55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3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lang w:val="ru-ru"/>
              </w:rPr>
              <w:t>Объект, предмет и тема исследования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 /Лек.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55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3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. Самостоятельная работа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55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3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зачёту /Ср/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55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37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8,75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Подготовка к семинарам.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Замысел и научное противоречие в проектировании исследования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/Ср/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к семинарам.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Исследовательские подходы в научном познании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/Ср/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к семинарам.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Цель исследования и критерии достоверности результатов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/Ср/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к семинарам.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Научная гипотеза и условия её состоятельности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/Ср/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к семинарам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Задачи исследования и методика (программа) исследования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/Ср/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к семинарам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Специфика и ловушки теоретического и эмпирического этапов исследования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/Ср/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к семинарам.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Оформление и апробация результатов исследования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/Ср/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Раздел 4. Контактные часы на аттестацию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73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25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Зачёт /КА/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4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6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10186" w:type="dxa"/>
            <w:gridSpan w:val="18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5. ОЦЕНОЧНЫЕ МАТЕРИАЛЫ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2083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6.1. Рекомендуемая литература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6.1.1. Основная литература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570" w:hRule="exact"/>
        </w:trPr>
        <w:tc>
          <w:tcPr>
            <w:tcW w:w="71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Авторы, составители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99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Заглавие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Издательс тво, год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17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Эл. адрес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2083" w:hRule="exact"/>
        </w:trPr>
        <w:tc>
          <w:tcPr>
            <w:tcW w:w="71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Л1.1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Яскевич, Я.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3599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Яскевич, Я.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Философия и методология науки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: учебник для вузов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/ Я.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Яскевич.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— 2-е изд., испр. и доп.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— Москва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: Издательство Юрайт, 2020.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— 536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ISBN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978-5-534-09651-4. — Текст : электронный // Образовательная платформа Юрайт [сайт].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Издательство Юрайт, 2020.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317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hyperlink r:id="rId8" w:history="1"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/456524</w:t>
              </w:r>
            </w:hyperlink>
          </w:p>
        </w:tc>
      </w:tr>
      <w:tr>
        <w:trPr>
          <w:tblHeader w:val="0"/>
          <w:cantSplit w:val="0"/>
          <w:trHeight w:val="2083" w:hRule="exact"/>
        </w:trPr>
        <w:tc>
          <w:tcPr>
            <w:tcW w:w="71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Л1.2</w:t>
            </w:r>
          </w:p>
        </w:tc>
        <w:tc>
          <w:tcPr>
            <w:tcW w:w="135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Ушаков, Е.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r>
          </w:p>
        </w:tc>
        <w:tc>
          <w:tcPr>
            <w:tcW w:w="3599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Ушаков, Е.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Философия и методология науки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: учебник и практикум для вузов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/ Е.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В.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Ушаков.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— Москва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: Издательство Юрайт, 2020.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— 392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с.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 xml:space="preserve">—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ISBN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 xml:space="preserve">978-5-534-02637-5. — Текст : электронный // Образовательная платформа Юрайт [сайт]. —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hyperlink r:id="rId9" w:history="1"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/450517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r>
          </w:p>
        </w:tc>
        <w:tc>
          <w:tcPr>
            <w:tcW w:w="133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Издательство Юрайт, 2020.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r>
          </w:p>
        </w:tc>
        <w:tc>
          <w:tcPr>
            <w:tcW w:w="317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URL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hyperlink r:id="rId9" w:history="1"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https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urait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ru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</w:rPr>
                <w:t>bcode</w:t>
              </w:r>
              <w:r>
                <w:rPr>
                  <w:rStyle w:val="char1"/>
                  <w:rFonts w:ascii="Times New Roman" w:hAnsi="Times New Roman"/>
                  <w:color w:val="486c97"/>
                  <w:sz w:val="20"/>
                  <w:szCs w:val="20"/>
                  <w:shd w:val="clear" w:fill="ffffff"/>
                  <w:lang w:val="ru-ru"/>
                </w:rPr>
                <w:t>/450517</w:t>
              </w:r>
            </w:hyperlink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6.1.2. Дополнительная литература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54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4874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22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243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54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11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Липкин А.А.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4874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Философия науки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: учебник для вузов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/ под редакцией А.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И.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Липкина.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2-е изд., перераб. и доп.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Москва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: Издательство Юрайт, 2026.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512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— </w:t>
            </w:r>
            <w:r>
              <w:rPr>
                <w:rFonts w:ascii="Times New Roman" w:hAnsi="Times New Roman"/>
                <w:sz w:val="20"/>
                <w:szCs w:val="20"/>
              </w:rPr>
              <w:t>ISBN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978-5-534-01198-2. — Текст : электронный // Образовательная платформа Юрайт [сайт]. — </w:t>
            </w:r>
            <w:r>
              <w:rPr>
                <w:rFonts w:ascii="Times New Roman" w:hAnsi="Times New Roman"/>
                <w:sz w:val="20"/>
                <w:szCs w:val="20"/>
              </w:rPr>
              <w:t>URL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</w:t>
            </w:r>
            <w:hyperlink r:id="rId10" w:history="1"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https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urait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ru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bcode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/590551</w:t>
              </w:r>
            </w:hyperlink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22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Издательство Юрайт, 2026.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243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URL: https://urait.ru/bcode/590551</w:t>
            </w:r>
          </w:p>
        </w:tc>
      </w:tr>
      <w:tr>
        <w:trPr>
          <w:tblHeader w:val="0"/>
          <w:cantSplit w:val="0"/>
          <w:trHeight w:val="1561" w:hRule="atLeast"/>
        </w:trPr>
        <w:tc>
          <w:tcPr>
            <w:tcW w:w="54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Л2.2</w:t>
            </w:r>
          </w:p>
        </w:tc>
        <w:tc>
          <w:tcPr>
            <w:tcW w:w="1111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  <w:t>Лебедев С.А.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</w:rPr>
              <w:t>  </w:t>
            </w:r>
            <w:r>
              <w:rPr>
                <w:rFonts w:ascii="Times New Roman" w:hAnsi="Times New Roman"/>
                <w:color w:val="000000"/>
                <w:sz w:val="19"/>
                <w:szCs w:val="19"/>
                <w:shd w:val="clear" w:fill="ffffff"/>
                <w:lang w:val="ru-ru"/>
              </w:rPr>
            </w:r>
          </w:p>
        </w:tc>
        <w:tc>
          <w:tcPr>
            <w:tcW w:w="4874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Лебедев, С.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А.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Философия науки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: учебник для вузов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/ С.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А.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Лебедев.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2-е изд., перераб. и доп.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Москва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: Издательство Юрайт, 2026.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244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— (Высшее образование).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— </w:t>
            </w:r>
            <w:r>
              <w:rPr>
                <w:rFonts w:ascii="Times New Roman" w:hAnsi="Times New Roman"/>
                <w:sz w:val="20"/>
                <w:szCs w:val="20"/>
              </w:rPr>
              <w:t>ISBN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978-5-534-21486-4. — Текст : электронный // Образовательная платформа Юрайт [сайт]. — </w:t>
            </w:r>
            <w:r>
              <w:rPr>
                <w:rFonts w:ascii="Times New Roman" w:hAnsi="Times New Roman"/>
                <w:sz w:val="20"/>
                <w:szCs w:val="20"/>
              </w:rPr>
              <w:t>URL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</w:t>
            </w:r>
            <w:hyperlink r:id="rId11" w:history="1"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https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urait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ru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bcode</w:t>
              </w:r>
              <w:r>
                <w:rPr>
                  <w:rStyle w:val="char1"/>
                  <w:rFonts w:ascii="Times New Roman" w:hAnsi="Times New Roman"/>
                  <w:sz w:val="20"/>
                  <w:szCs w:val="20"/>
                  <w:lang w:val="ru-ru"/>
                </w:rPr>
                <w:t>/582647</w:t>
              </w:r>
            </w:hyperlink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22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  <w:t>Издательство Юрайт, 2026.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r>
          </w:p>
        </w:tc>
        <w:tc>
          <w:tcPr>
            <w:tcW w:w="243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fill="ffffff"/>
                <w:lang w:val="ru-ru"/>
              </w:rPr>
            </w:pPr>
            <w:hyperlink r:id="rId11" w:history="1">
              <w:r>
                <w:rPr>
                  <w:rStyle w:val="char1"/>
                  <w:rFonts w:ascii="Times New Roman" w:hAnsi="Times New Roman"/>
                  <w:sz w:val="20"/>
                  <w:szCs w:val="20"/>
                </w:rPr>
                <w:t>https://urait.ru/bcode/582647</w:t>
              </w:r>
            </w:hyperlink>
          </w:p>
        </w:tc>
      </w:tr>
      <w:tr>
        <w:trPr>
          <w:tblHeader w:val="0"/>
          <w:cantSplit w:val="0"/>
          <w:trHeight w:val="555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60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82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Электронные таблицы и текстовые редакторы</w:t>
            </w:r>
            <w:r/>
            <w:bookmarkStart w:id="0" w:name="_GoBack"/>
            <w:bookmarkEnd w:id="0"/>
            <w:r/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6.2.2 Перечень профессиональных баз данных и информационных справочных систем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07" w:hRule="exact"/>
        </w:trPr>
        <w:tc>
          <w:tcPr>
            <w:tcW w:w="60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582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База данных Института философии РАН: Философские ресурсы: Текстовые ресурсы: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iphras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page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52248384.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60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9582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Новая философская энциклопедия в 4-х томах: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iphras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page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12557492.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htm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60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9582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Российская научная электронная библиотека: https://elibrary.ru/defaultx.asp</w:t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60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9582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Гарант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604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582" w:type="dxa"/>
            <w:gridSpan w:val="1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634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Консультант плюс</w:t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9"/>
            <w:shd w:val="solid" w:color="D3D3D3" tmshd="1677721856, 0, 13882323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340" protected="0"/>
          </w:tcPr>
          <w:p>
            <w:pPr/>
            <w:r>
              <w:t>7. МАТЕРИАЛЬНО-ТЕХНИЧЕСКОЕ ОБЕСПЕЧЕНИЕ ДИСЦИПЛИНЫ (МОДУЛЯ)</w:t>
            </w:r>
            <w:r/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gridSpan w:val="4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340" protected="0"/>
          </w:tcPr>
          <w:p>
            <w:pPr/>
            <w:r/>
          </w:p>
          <w:p>
            <w:pPr/>
            <w:r>
              <w:t>7.1</w:t>
            </w:r>
            <w:r/>
          </w:p>
        </w:tc>
        <w:tc>
          <w:tcPr>
            <w:tcW w:w="9516" w:type="dxa"/>
            <w:gridSpan w:val="15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340" protected="0"/>
          </w:tcPr>
          <w:p>
            <w:pPr/>
            <w: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t xml:space="preserve">№ 9311 </w:t>
            </w:r>
          </w:p>
          <w:p>
            <w:pPr/>
            <w:r>
              <w:t xml:space="preserve">Оборудование: </w:t>
            </w:r>
          </w:p>
          <w:p>
            <w:pPr/>
            <w:r>
              <w:t xml:space="preserve">-стол ученический - 15 шт., </w:t>
            </w:r>
          </w:p>
          <w:p>
            <w:pPr/>
            <w:r>
              <w:t xml:space="preserve">- стул - 30 шт. </w:t>
            </w:r>
          </w:p>
          <w:p>
            <w:pPr/>
            <w:r>
              <w:t xml:space="preserve">- стол преподавателя – 1 шт., </w:t>
            </w:r>
          </w:p>
          <w:p>
            <w:pPr/>
            <w:r>
              <w:t>- стул преподавателя – 1 шт.,</w:t>
            </w:r>
          </w:p>
          <w:p>
            <w:pPr/>
            <w:r>
              <w:t xml:space="preserve">Технические средства обучения: </w:t>
            </w:r>
          </w:p>
          <w:p>
            <w:pPr/>
            <w:r>
              <w:t xml:space="preserve">- компьютер в сборе – 15 шт., </w:t>
            </w:r>
          </w:p>
          <w:p>
            <w:pPr>
              <w:rPr>
                <w:sz w:val="19"/>
                <w:szCs w:val="19"/>
                <w:lang w:val="ru-ru"/>
              </w:rPr>
            </w:pPr>
            <w:r>
              <w:t>- мультимедийный проектор – 1 шт.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gridSpan w:val="4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340" protected="0"/>
          </w:tcPr>
          <w:p>
            <w:pPr/>
            <w:r>
              <w:t>7.2</w:t>
            </w:r>
            <w:r/>
          </w:p>
        </w:tc>
        <w:tc>
          <w:tcPr>
            <w:tcW w:w="9516" w:type="dxa"/>
            <w:gridSpan w:val="15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6340" protected="0"/>
          </w:tcPr>
          <w:p>
            <w:pPr/>
            <w:r>
              <w:t xml:space="preserve">Помещение для самостоятельной работы </w:t>
            </w:r>
            <w:r>
              <w:t xml:space="preserve">№ 9322 </w:t>
            </w:r>
          </w:p>
          <w:p>
            <w:pPr/>
            <w:r>
              <w:t xml:space="preserve">Оборудование: </w:t>
            </w:r>
          </w:p>
          <w:p>
            <w:pPr/>
            <w:r>
              <w:t>- доска учебная – 1 шт.;</w:t>
            </w:r>
          </w:p>
          <w:p>
            <w:pPr/>
            <w:r>
              <w:t xml:space="preserve">- стол ученический - 12 шт., </w:t>
            </w:r>
          </w:p>
          <w:p>
            <w:pPr/>
            <w:r>
              <w:t xml:space="preserve">- стул - 24 шт. </w:t>
            </w:r>
          </w:p>
          <w:p>
            <w:pPr/>
            <w:r>
              <w:t xml:space="preserve">- стол преподавателя – 1 шт., </w:t>
            </w:r>
          </w:p>
          <w:p>
            <w:pPr/>
            <w:r>
              <w:t xml:space="preserve">- стул преподавателя – 1 шт., </w:t>
            </w:r>
          </w:p>
          <w:p>
            <w:pPr/>
            <w:r>
              <w:t xml:space="preserve">Технические средства обучения: </w:t>
            </w:r>
          </w:p>
          <w:p>
            <w:pPr>
              <w:rPr>
                <w:sz w:val="19"/>
                <w:szCs w:val="19"/>
              </w:rPr>
            </w:pPr>
            <w: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sz w:val="19"/>
                <w:szCs w:val="19"/>
              </w:rPr>
            </w:r>
          </w:p>
        </w:tc>
      </w:tr>
    </w:tbl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50658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6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4"/>
    <w:tmLastPosSelect w:val="0"/>
    <w:tmLastPosFrameIdx w:val="395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46340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character" w:styleId="char3" w:customStyle="1">
    <w:name w:val="tm71"/>
    <w:basedOn w:val="char0"/>
    <w:rPr>
      <w:rFonts w:cs="Times New Roman"/>
      <w:sz w:val="22"/>
      <w:szCs w:val="22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character" w:styleId="char3" w:customStyle="1">
    <w:name w:val="tm71"/>
    <w:basedOn w:val="char0"/>
    <w:rPr>
      <w:rFonts w:cs="Times New Roman"/>
      <w:sz w:val="22"/>
      <w:szCs w:val="22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s://urait.ru/bcode/456524" TargetMode="External"/><Relationship Id="rId9" Type="http://schemas.openxmlformats.org/officeDocument/2006/relationships/hyperlink" Target="https://urait.ru/bcode/450517" TargetMode="External"/><Relationship Id="rId10" Type="http://schemas.openxmlformats.org/officeDocument/2006/relationships/hyperlink" Target="https://urait.ru/bcode/590551" TargetMode="External"/><Relationship Id="rId11" Type="http://schemas.openxmlformats.org/officeDocument/2006/relationships/hyperlink" Target="https://urait.ru/bcode/5826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2022-2023_09_04_01-22-2-ИВТм_plm_plx_Методология научного познания</dc:title>
  <dc:subject/>
  <dc:creator>FastReport.NET</dc:creator>
  <cp:keywords/>
  <dc:description/>
  <cp:lastModifiedBy/>
  <cp:revision>46</cp:revision>
  <cp:lastPrinted>2024-12-17T10:44:00Z</cp:lastPrinted>
  <dcterms:created xsi:type="dcterms:W3CDTF">2022-08-31T08:55:00Z</dcterms:created>
  <dcterms:modified xsi:type="dcterms:W3CDTF">2026-10-01T09:19:00Z</dcterms:modified>
</cp:coreProperties>
</file>