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МИНИСТЕРСТВО ТРАНСПОРТА РОССИЙСКОЙ ФЕДЕРАЦИИ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ФЕДЕРАЛЬНОЕ АГЕНТСТВО ЖЕЛЕЗНОДОРОЖНОГО ТРАНСПОРТА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18"/>
          <w:szCs w:val="18"/>
        </w:rPr>
        <w:t>ФЕДЕРАЛЬНОЕ ГОСУДАРСТВЕННОЕ БЮДЖЕТНОЕ ОБРАЗОВАТЕЛЬНОЕ УЧРЕЖДЕНИЕ ВЫСШЕГО ОБРАЗОВАНИЯ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ПРИВОЛЖСКИЙ ГОСУДАРСТВЕННЫЙ УНИВЕРСИТЕТ ПУТЕЙ СООБЩЕНИЯ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(ПривГУПС)</w:t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>
      <w:pPr>
        <w:ind w:left="10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к рабочей программе дисциплины </w:t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/>
        <w:jc w:val="center"/>
        <w:tabs defTabSz="708">
          <w:tab w:val="left" w:pos="284" w:leader="none"/>
        </w:tabs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ОЦЕНОЧНЫЕ МАТЕРИАЛЫ ДЛЯ ПРОМЕЖУТОЧНОЙ АТТЕСТАЦИИ</w:t>
      </w:r>
      <w:r>
        <w:rPr>
          <w:rFonts w:eastAsia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tabs defTabSz="708">
          <w:tab w:val="left" w:pos="284" w:leader="none"/>
        </w:tabs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Организация научно-инновационной деятельности</w:t>
      </w:r>
    </w:p>
    <w:p>
      <w:pPr>
        <w:spacing/>
        <w:jc w:val="center"/>
        <w:rPr>
          <w:rFonts w:ascii="Times New Roman" w:hAnsi="Times New Roman" w:eastAsia="Times New Roman"/>
          <w:bCs/>
          <w:i/>
          <w:iCs/>
          <w:sz w:val="20"/>
          <w:szCs w:val="20"/>
        </w:rPr>
      </w:pPr>
      <w:r>
        <w:rPr>
          <w:rFonts w:ascii="Times New Roman" w:hAnsi="Times New Roman" w:eastAsia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 xml:space="preserve">(наименование 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>дисциплины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>)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Научная специальность</w:t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5.9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.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6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 xml:space="preserve">.  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Языки народов зарубежных стран (германские языки)</w:t>
      </w:r>
    </w:p>
    <w:p>
      <w:pPr>
        <w:spacing/>
        <w:jc w:val="center"/>
        <w:rPr>
          <w:rFonts w:ascii="Times New Roman" w:hAnsi="Times New Roman" w:eastAsia="Times New Roman"/>
          <w:i/>
          <w:iCs/>
          <w:sz w:val="18"/>
          <w:szCs w:val="28"/>
        </w:rPr>
      </w:pPr>
      <w:r>
        <w:rPr>
          <w:rFonts w:ascii="Times New Roman" w:hAnsi="Times New Roman" w:eastAsia="Times New Roman"/>
          <w:i/>
          <w:iCs/>
          <w:sz w:val="20"/>
          <w:szCs w:val="28"/>
        </w:rPr>
        <w:t>(код и наименование)</w:t>
      </w:r>
      <w:r>
        <w:rPr>
          <w:rFonts w:ascii="Times New Roman" w:hAnsi="Times New Roman" w:eastAsia="Times New Roman"/>
          <w:i/>
          <w:iCs/>
          <w:sz w:val="1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Пояснительная записка. 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Типовые контрольные задания или иные материалы для оценки знаний, умений, навыков и (или) опыта деятельности при проведении промежуточной аттестации.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Методические материалы, определяющие процедуру и критерии оценивания при проведении промежуточной аттестации</w:t>
      </w:r>
    </w:p>
    <w:p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para22"/>
        <w:numPr>
          <w:ilvl w:val="0"/>
          <w:numId w:val="10"/>
        </w:numPr>
        <w:ind w:left="928" w:hanging="36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>
      <w:pPr>
        <w:pStyle w:val="para22"/>
        <w:ind w:left="928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ab/>
        <w:t>Цель промежуточной аттестации – оценивание промежуточных и окончательных результатов обучения дисциплине, обеспечивающих достижение планируемых результатов освоения образовательной программы.</w:t>
      </w:r>
    </w:p>
    <w:p>
      <w:pPr>
        <w:spacing w:after="0" w:line="23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Формы промежуточной аттестации: </w:t>
      </w:r>
    </w:p>
    <w:p>
      <w:pPr>
        <w:spacing w:after="0" w:line="238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Зачет - 3 семестр.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/>
          <w:color w:val="00b050"/>
          <w:sz w:val="24"/>
          <w:szCs w:val="24"/>
        </w:rPr>
      </w:pPr>
      <w:r>
        <w:rPr>
          <w:rFonts w:ascii="Times New Roman" w:hAnsi="Times New Roman" w:eastAsia="Times New Roman"/>
          <w:color w:val="00b050"/>
          <w:sz w:val="24"/>
          <w:szCs w:val="24"/>
        </w:rPr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Результаты обучения по дисциплине, соотнесенные с планируемыми </w:t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результатами освоения образовательной программы</w:t>
      </w:r>
    </w:p>
    <w:tbl>
      <w:tblPr>
        <w:tblStyle w:val="TableGrid"/>
        <w:name w:val="Таблица1"/>
        <w:tabOrder w:val="0"/>
        <w:jc w:val="left"/>
        <w:tblInd w:w="108" w:type="dxa"/>
        <w:tblW w:w="9356" w:type="dxa"/>
        <w:tblLook w:val="04A0" w:firstRow="1" w:lastRow="0" w:firstColumn="1" w:lastColumn="0" w:noHBand="0" w:noVBand="1"/>
      </w:tblPr>
      <w:tblGrid>
        <w:gridCol w:w="9356"/>
      </w:tblGrid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9066" protected="0"/>
          </w:tcPr>
          <w:p>
            <w:pPr>
              <w: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обучения по дисциплине</w:t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9066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знает: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виды инновационной деятельности, виды и формы  защиты интеллектуальной собственности, порядок защиты интеллектуальной собственности,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методы исследования, применяемые 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инновационной 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научно-исследовательской деятельности и средства для их реализации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9066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умеет: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проводить патентный поиск по отечественным и зарубежным ресурсам, анализировать методы исследования и выбирать наиболее подходящий для самостоятельной научно-исследовательской и инновационной деятельности, оформлять заявки на получение патентов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РФ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9066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владеет: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навыками отбора аналогов и прототипа по результатам патентного поиска, навыками оценки соответствия результатов творческой,  интеллектуальной, инновационной деятельности уровню объектов интеллектуальной собственности,  </w:t>
            </w:r>
            <w:r/>
            <w:bookmarkStart w:id="0" w:name="_GoBack"/>
            <w:bookmarkEnd w:id="0"/>
            <w:r/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навыками разработки новых методов исследования и способностью применить эти методы для самостоятельной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инновационной и 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научно-исследовательской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Промежуточная аттестация (зачет) проводится в форме устного ответа на вопросы билета. </w:t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  <w:t>2.</w:t>
        <w:tab/>
        <w:t>Типовые контрольные задания или иные материалы для оценки знаний, умений, навыков и (или) опыта деятельности</w:t>
      </w:r>
      <w:r>
        <w:t xml:space="preserve"> </w:t>
      </w:r>
      <w:r>
        <w:rPr>
          <w:rFonts w:ascii="Times New Roman" w:hAnsi="Times New Roman" w:eastAsia="Times New Roman"/>
          <w:b/>
          <w:bCs/>
          <w:iCs/>
          <w:sz w:val="24"/>
          <w:szCs w:val="24"/>
        </w:rPr>
        <w:t>при проведении промежуточной аттестации</w:t>
      </w:r>
      <w:r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</w:rPr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</w:rPr>
        <w:t>2.1. Типовые контрольные вопросы для зачета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1. Понятие инновационная деятельность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2. Виды инновационной деятельности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3. Виды интеллектуальной собственности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4. Охрана объектов промышленной собственности в РФ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5. Авторское право и смежные права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6. Международные договоры в области интеллектуальной собственности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7. Международная система классификации объектов интеллектуальной собственности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8. Коммерциализация интеллектуальной собственности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9. Объекты интеллектуальной собственности и формы их защиты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10. Порядок оформления заявок на изобретение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11. Порядок оформления заявок полезную модель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12. Структура описания к заявке на выдачу патента на </w:t>
      </w:r>
      <w:r>
        <w:rPr>
          <w:rFonts w:ascii="Times New Roman" w:hAnsi="Times New Roman" w:eastAsia="Times New Roman"/>
          <w:color w:val="000000"/>
          <w:sz w:val="24"/>
          <w:szCs w:val="24"/>
        </w:rPr>
        <w:t>из</w:t>
      </w:r>
      <w:r>
        <w:rPr>
          <w:rFonts w:ascii="Times New Roman" w:hAnsi="Times New Roman" w:eastAsia="Times New Roman"/>
          <w:color w:val="000000"/>
          <w:sz w:val="24"/>
          <w:szCs w:val="24"/>
        </w:rPr>
        <w:t>обретение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13. Структура описания к заявке на выдачу патента на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 полезную модель 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14. Патентный поиск по теме диссертационной работы 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15. Порядок формирования заявки на выдачу патента на изобретение и полезную модель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16. Порядок формирования заявки на выдачу патента на  </w:t>
      </w:r>
      <w:r>
        <w:rPr>
          <w:rFonts w:ascii="Times New Roman" w:hAnsi="Times New Roman" w:eastAsia="Times New Roman"/>
          <w:color w:val="000000"/>
          <w:sz w:val="24"/>
          <w:szCs w:val="24"/>
        </w:rPr>
        <w:t>полезную модель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17. Оформление заявки на выдачу патента на изобретение и полезную модель 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 Методические материалы, определяющие процедуру и критерии оценивания при проведении промежуточной аттестации</w:t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/>
        <w:jc w:val="center"/>
        <w:widowControl w:val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Критерии формирования оценок по зачету </w:t>
      </w:r>
    </w:p>
    <w:p>
      <w:pPr>
        <w:ind w:right="130" w:firstLine="548"/>
        <w:spacing w:after="0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«зачтено» – </w:t>
      </w:r>
      <w:r>
        <w:rPr>
          <w:rFonts w:ascii="Times New Roman" w:hAnsi="Times New Roman"/>
          <w:sz w:val="24"/>
          <w:szCs w:val="24"/>
        </w:rPr>
        <w:t>обучающийся приобрел необходимые умения и навыки, продемонстрировал навык практического применения полученных знаний, не допустил логических и фактических ошибок</w:t>
      </w:r>
      <w:r>
        <w:rPr>
          <w:rFonts w:ascii="Times New Roman" w:hAnsi="Times New Roman"/>
          <w:sz w:val="24"/>
          <w:szCs w:val="24"/>
        </w:rPr>
        <w:t>, допустил незначительные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логические и фактические ошибки.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ind w:left="127" w:right="63" w:firstLine="44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«не зачтено» </w:t>
      </w:r>
      <w:r>
        <w:rPr>
          <w:rFonts w:ascii="Times New Roman" w:hAnsi="Times New Roman"/>
          <w:sz w:val="24"/>
          <w:szCs w:val="24"/>
        </w:rPr>
        <w:t>– обучающийся демонстрирует фрагментарные знания изучаемого курса; отсутствуют необходимые умения и навыки, допущены грубые ошибки.</w:t>
      </w:r>
    </w:p>
    <w:p>
      <w:pPr>
        <w:ind w:right="6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6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 xml:space="preserve">Виды ошибок: 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грубые ошибки: незнание основных понятий, правил, норм; незнание приемов решения задач; ошибки, показывающие неправильное понимание условия предложенного задания.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негрубые ошибки: неточности формулировок, определений; нерациональный выбор хода решения.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недочеты: нерациональные приемы выполнения задания; отдельные погрешности в формулировке выводов; небрежное выполнение задания.</w:t>
      </w:r>
    </w:p>
    <w:p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tabs defTabSz="708">
          <w:tab w:val="left" w:pos="2295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701" w:top="709" w:right="850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  <w:font w:name="Courier New">
    <w:panose1 w:val="02070309020205020404"/>
    <w:charset w:val="00"/>
    <w:family w:val="modern"/>
    <w:pitch w:val="default"/>
  </w:font>
  <w:font w:name="Tahoma">
    <w:panose1 w:val="020B0604030504040204"/>
    <w:charset w:val="00"/>
    <w:family w:val="roman"/>
    <w:pitch w:val="default"/>
  </w:font>
  <w:font w:name="Verdana">
    <w:panose1 w:val="020B0604030504040204"/>
    <w:charset w:val="00"/>
    <w:family w:val="roman"/>
    <w:pitch w:val="default"/>
  </w:font>
  <w:font w:name="Symbol">
    <w:panose1 w:val="05050102010706020507"/>
    <w:charset w:val="02"/>
    <w:family w:val="roman"/>
    <w:pitch w:val="default"/>
  </w:font>
  <w:font w:name="Wingdings">
    <w:panose1 w:val="05000000000000000000"/>
    <w:charset w:val="02"/>
    <w:family w:val="auto"/>
    <w:pitch w:val="default"/>
  </w:font>
  <w:font w:name="Helvetica Neue">
    <w:panose1 w:val="020B0604020202020204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decimal"/>
      <w:suff w:val="tab"/>
      <w:lvlText w:val="%1."/>
      <w:lvlJc w:val="left"/>
      <w:pPr>
        <w:ind w:left="360" w:hanging="0"/>
      </w:pPr>
      <w:rPr>
        <w:color w:val="auto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">
    <w:multiLevelType w:val="hybridMultilevel"/>
    <w:name w:val="Нумерованный список 2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3">
    <w:multiLevelType w:val="hybridMultilevel"/>
    <w:name w:val="Нумерованный список 3"/>
    <w:lvl w:ilvl="0">
      <w:start w:val="1"/>
      <w:numFmt w:val="decimal"/>
      <w:suff w:val="tab"/>
      <w:lvlText w:val="%1."/>
      <w:lvlJc w:val="left"/>
      <w:pPr>
        <w:ind w:left="1069" w:hanging="0"/>
      </w:pPr>
    </w:lvl>
    <w:lvl w:ilvl="1">
      <w:start w:val="1"/>
      <w:numFmt w:val="lowerLetter"/>
      <w:suff w:val="tab"/>
      <w:lvlText w:val="%2."/>
      <w:lvlJc w:val="left"/>
      <w:pPr>
        <w:ind w:left="1789" w:hanging="0"/>
      </w:pPr>
    </w:lvl>
    <w:lvl w:ilvl="2">
      <w:start w:val="1"/>
      <w:numFmt w:val="lowerRoman"/>
      <w:suff w:val="tab"/>
      <w:lvlText w:val="%3."/>
      <w:lvlJc w:val="left"/>
      <w:pPr>
        <w:ind w:left="2689" w:hanging="0"/>
      </w:pPr>
    </w:lvl>
    <w:lvl w:ilvl="3">
      <w:start w:val="1"/>
      <w:numFmt w:val="decimal"/>
      <w:suff w:val="tab"/>
      <w:lvlText w:val="%4."/>
      <w:lvlJc w:val="left"/>
      <w:pPr>
        <w:ind w:left="3229" w:hanging="0"/>
      </w:pPr>
    </w:lvl>
    <w:lvl w:ilvl="4">
      <w:start w:val="1"/>
      <w:numFmt w:val="lowerLetter"/>
      <w:suff w:val="tab"/>
      <w:lvlText w:val="%5."/>
      <w:lvlJc w:val="left"/>
      <w:pPr>
        <w:ind w:left="3949" w:hanging="0"/>
      </w:pPr>
    </w:lvl>
    <w:lvl w:ilvl="5">
      <w:start w:val="1"/>
      <w:numFmt w:val="lowerRoman"/>
      <w:suff w:val="tab"/>
      <w:lvlText w:val="%6."/>
      <w:lvlJc w:val="left"/>
      <w:pPr>
        <w:ind w:left="4849" w:hanging="0"/>
      </w:pPr>
    </w:lvl>
    <w:lvl w:ilvl="6">
      <w:start w:val="1"/>
      <w:numFmt w:val="decimal"/>
      <w:suff w:val="tab"/>
      <w:lvlText w:val="%7."/>
      <w:lvlJc w:val="left"/>
      <w:pPr>
        <w:ind w:left="5389" w:hanging="0"/>
      </w:pPr>
    </w:lvl>
    <w:lvl w:ilvl="7">
      <w:start w:val="1"/>
      <w:numFmt w:val="lowerLetter"/>
      <w:suff w:val="tab"/>
      <w:lvlText w:val="%8."/>
      <w:lvlJc w:val="left"/>
      <w:pPr>
        <w:ind w:left="6109" w:hanging="0"/>
      </w:pPr>
    </w:lvl>
    <w:lvl w:ilvl="8">
      <w:start w:val="1"/>
      <w:numFmt w:val="lowerRoman"/>
      <w:suff w:val="tab"/>
      <w:lvlText w:val="%9."/>
      <w:lvlJc w:val="left"/>
      <w:pPr>
        <w:ind w:left="7009" w:hanging="0"/>
      </w:pPr>
    </w:lvl>
  </w:abstractNum>
  <w:abstractNum w:abstractNumId="4">
    <w:multiLevelType w:val="hybridMultilevel"/>
    <w:name w:val="Нумерованный список 4"/>
    <w:lvl w:ilvl="0">
      <w:start w:val="1"/>
      <w:numFmt w:val="decimal"/>
      <w:suff w:val="space"/>
      <w:lvlText w:val="%1."/>
      <w:lvlJc w:val="left"/>
      <w:pPr>
        <w:ind w:left="0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5">
    <w:multiLevelType w:val="hybridMultilevel"/>
    <w:name w:val="Нумерованный список 5"/>
    <w:lvl w:ilvl="0">
      <w:start w:val="1"/>
      <w:numFmt w:val="decimal"/>
      <w:suff w:val="tab"/>
      <w:lvlText w:val="%1."/>
      <w:lvlJc w:val="left"/>
      <w:pPr>
        <w:ind w:left="284" w:hanging="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ind w:left="1004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1904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444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164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064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604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324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224" w:hanging="0"/>
      </w:pPr>
      <w:rPr>
        <w:rFonts w:cs="Times New Roman"/>
      </w:rPr>
    </w:lvl>
  </w:abstractNum>
  <w:abstractNum w:abstractNumId="6">
    <w:multiLevelType w:val="hybridMultilevel"/>
    <w:name w:val="Нумерованный список 6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7">
    <w:multiLevelType w:val="hybridMultilevel"/>
    <w:name w:val="Нумерованный список 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8">
    <w:multiLevelType w:val="hybridMultilevel"/>
    <w:name w:val="Нумерованный список 8"/>
    <w:lvl w:ilvl="0">
      <w:start w:val="1"/>
      <w:numFmt w:val="decimal"/>
      <w:suff w:val="tab"/>
      <w:lvlText w:val="%1."/>
      <w:lvlJc w:val="left"/>
      <w:pPr>
        <w:ind w:left="709" w:hanging="0"/>
      </w:pPr>
    </w:lvl>
    <w:lvl w:ilvl="1">
      <w:start w:val="1"/>
      <w:numFmt w:val="lowerLetter"/>
      <w:suff w:val="tab"/>
      <w:lvlText w:val="%2."/>
      <w:lvlJc w:val="left"/>
      <w:pPr>
        <w:ind w:left="1429" w:hanging="0"/>
      </w:pPr>
    </w:lvl>
    <w:lvl w:ilvl="2">
      <w:start w:val="1"/>
      <w:numFmt w:val="lowerRoman"/>
      <w:suff w:val="tab"/>
      <w:lvlText w:val="%3."/>
      <w:lvlJc w:val="left"/>
      <w:pPr>
        <w:ind w:left="2329" w:hanging="0"/>
      </w:pPr>
    </w:lvl>
    <w:lvl w:ilvl="3">
      <w:start w:val="1"/>
      <w:numFmt w:val="decimal"/>
      <w:suff w:val="tab"/>
      <w:lvlText w:val="%4."/>
      <w:lvlJc w:val="left"/>
      <w:pPr>
        <w:ind w:left="2869" w:hanging="0"/>
      </w:pPr>
    </w:lvl>
    <w:lvl w:ilvl="4">
      <w:start w:val="1"/>
      <w:numFmt w:val="lowerLetter"/>
      <w:suff w:val="tab"/>
      <w:lvlText w:val="%5."/>
      <w:lvlJc w:val="left"/>
      <w:pPr>
        <w:ind w:left="3589" w:hanging="0"/>
      </w:pPr>
    </w:lvl>
    <w:lvl w:ilvl="5">
      <w:start w:val="1"/>
      <w:numFmt w:val="lowerRoman"/>
      <w:suff w:val="tab"/>
      <w:lvlText w:val="%6."/>
      <w:lvlJc w:val="left"/>
      <w:pPr>
        <w:ind w:left="4489" w:hanging="0"/>
      </w:pPr>
    </w:lvl>
    <w:lvl w:ilvl="6">
      <w:start w:val="1"/>
      <w:numFmt w:val="decimal"/>
      <w:suff w:val="tab"/>
      <w:lvlText w:val="%7."/>
      <w:lvlJc w:val="left"/>
      <w:pPr>
        <w:ind w:left="5029" w:hanging="0"/>
      </w:pPr>
    </w:lvl>
    <w:lvl w:ilvl="7">
      <w:start w:val="1"/>
      <w:numFmt w:val="lowerLetter"/>
      <w:suff w:val="tab"/>
      <w:lvlText w:val="%8."/>
      <w:lvlJc w:val="left"/>
      <w:pPr>
        <w:ind w:left="5749" w:hanging="0"/>
      </w:pPr>
    </w:lvl>
    <w:lvl w:ilvl="8">
      <w:start w:val="1"/>
      <w:numFmt w:val="lowerRoman"/>
      <w:suff w:val="tab"/>
      <w:lvlText w:val="%9."/>
      <w:lvlJc w:val="left"/>
      <w:pPr>
        <w:ind w:left="6649" w:hanging="0"/>
      </w:pPr>
    </w:lvl>
  </w:abstractNum>
  <w:abstractNum w:abstractNumId="9">
    <w:multiLevelType w:val="hybridMultilevel"/>
    <w:name w:val="Нумерованный список 9"/>
    <w:lvl w:ilvl="0">
      <w:start w:val="1"/>
      <w:numFmt w:val="decimal"/>
      <w:suff w:val="tab"/>
      <w:lvlText w:val="%1."/>
      <w:lvlJc w:val="left"/>
      <w:pPr>
        <w:ind w:left="708" w:hanging="0"/>
      </w:pPr>
    </w:lvl>
    <w:lvl w:ilvl="1">
      <w:start w:val="1"/>
      <w:numFmt w:val="lowerLetter"/>
      <w:suff w:val="tab"/>
      <w:lvlText w:val="%2."/>
      <w:lvlJc w:val="left"/>
      <w:pPr>
        <w:ind w:left="1428" w:hanging="0"/>
      </w:pPr>
    </w:lvl>
    <w:lvl w:ilvl="2">
      <w:start w:val="1"/>
      <w:numFmt w:val="lowerRoman"/>
      <w:suff w:val="tab"/>
      <w:lvlText w:val="%3."/>
      <w:lvlJc w:val="left"/>
      <w:pPr>
        <w:ind w:left="2328" w:hanging="0"/>
      </w:pPr>
    </w:lvl>
    <w:lvl w:ilvl="3">
      <w:start w:val="1"/>
      <w:numFmt w:val="decimal"/>
      <w:suff w:val="tab"/>
      <w:lvlText w:val="%4."/>
      <w:lvlJc w:val="left"/>
      <w:pPr>
        <w:ind w:left="2868" w:hanging="0"/>
      </w:pPr>
    </w:lvl>
    <w:lvl w:ilvl="4">
      <w:start w:val="1"/>
      <w:numFmt w:val="lowerLetter"/>
      <w:suff w:val="tab"/>
      <w:lvlText w:val="%5."/>
      <w:lvlJc w:val="left"/>
      <w:pPr>
        <w:ind w:left="3588" w:hanging="0"/>
      </w:pPr>
    </w:lvl>
    <w:lvl w:ilvl="5">
      <w:start w:val="1"/>
      <w:numFmt w:val="lowerRoman"/>
      <w:suff w:val="tab"/>
      <w:lvlText w:val="%6."/>
      <w:lvlJc w:val="left"/>
      <w:pPr>
        <w:ind w:left="4488" w:hanging="0"/>
      </w:pPr>
    </w:lvl>
    <w:lvl w:ilvl="6">
      <w:start w:val="1"/>
      <w:numFmt w:val="decimal"/>
      <w:suff w:val="tab"/>
      <w:lvlText w:val="%7."/>
      <w:lvlJc w:val="left"/>
      <w:pPr>
        <w:ind w:left="5028" w:hanging="0"/>
      </w:pPr>
    </w:lvl>
    <w:lvl w:ilvl="7">
      <w:start w:val="1"/>
      <w:numFmt w:val="lowerLetter"/>
      <w:suff w:val="tab"/>
      <w:lvlText w:val="%8."/>
      <w:lvlJc w:val="left"/>
      <w:pPr>
        <w:ind w:left="5748" w:hanging="0"/>
      </w:pPr>
    </w:lvl>
    <w:lvl w:ilvl="8">
      <w:start w:val="1"/>
      <w:numFmt w:val="lowerRoman"/>
      <w:suff w:val="tab"/>
      <w:lvlText w:val="%9."/>
      <w:lvlJc w:val="left"/>
      <w:pPr>
        <w:ind w:left="6648" w:hanging="0"/>
      </w:pPr>
    </w:lvl>
  </w:abstractNum>
  <w:abstractNum w:abstractNumId="10">
    <w:multiLevelType w:val="hybridMultilevel"/>
    <w:name w:val="Нумерованный список 10"/>
    <w:lvl w:ilvl="0">
      <w:start w:val="1"/>
      <w:numFmt w:val="decimal"/>
      <w:suff w:val="tab"/>
      <w:lvlText w:val="%1."/>
      <w:lvlJc w:val="left"/>
      <w:pPr>
        <w:ind w:left="568" w:hanging="0"/>
      </w:pPr>
    </w:lvl>
    <w:lvl w:ilvl="1">
      <w:start w:val="1"/>
      <w:numFmt w:val="lowerLetter"/>
      <w:suff w:val="tab"/>
      <w:lvlText w:val="%2."/>
      <w:lvlJc w:val="left"/>
      <w:pPr>
        <w:ind w:left="1288" w:hanging="0"/>
      </w:pPr>
    </w:lvl>
    <w:lvl w:ilvl="2">
      <w:start w:val="1"/>
      <w:numFmt w:val="lowerRoman"/>
      <w:suff w:val="tab"/>
      <w:lvlText w:val="%3."/>
      <w:lvlJc w:val="left"/>
      <w:pPr>
        <w:ind w:left="2188" w:hanging="0"/>
      </w:pPr>
    </w:lvl>
    <w:lvl w:ilvl="3">
      <w:start w:val="1"/>
      <w:numFmt w:val="decimal"/>
      <w:suff w:val="tab"/>
      <w:lvlText w:val="%4."/>
      <w:lvlJc w:val="left"/>
      <w:pPr>
        <w:ind w:left="2728" w:hanging="0"/>
      </w:pPr>
    </w:lvl>
    <w:lvl w:ilvl="4">
      <w:start w:val="1"/>
      <w:numFmt w:val="lowerLetter"/>
      <w:suff w:val="tab"/>
      <w:lvlText w:val="%5."/>
      <w:lvlJc w:val="left"/>
      <w:pPr>
        <w:ind w:left="3448" w:hanging="0"/>
      </w:pPr>
    </w:lvl>
    <w:lvl w:ilvl="5">
      <w:start w:val="1"/>
      <w:numFmt w:val="lowerRoman"/>
      <w:suff w:val="tab"/>
      <w:lvlText w:val="%6."/>
      <w:lvlJc w:val="left"/>
      <w:pPr>
        <w:ind w:left="4348" w:hanging="0"/>
      </w:pPr>
    </w:lvl>
    <w:lvl w:ilvl="6">
      <w:start w:val="1"/>
      <w:numFmt w:val="decimal"/>
      <w:suff w:val="tab"/>
      <w:lvlText w:val="%7."/>
      <w:lvlJc w:val="left"/>
      <w:pPr>
        <w:ind w:left="4888" w:hanging="0"/>
      </w:pPr>
    </w:lvl>
    <w:lvl w:ilvl="7">
      <w:start w:val="1"/>
      <w:numFmt w:val="lowerLetter"/>
      <w:suff w:val="tab"/>
      <w:lvlText w:val="%8."/>
      <w:lvlJc w:val="left"/>
      <w:pPr>
        <w:ind w:left="5608" w:hanging="0"/>
      </w:pPr>
    </w:lvl>
    <w:lvl w:ilvl="8">
      <w:start w:val="1"/>
      <w:numFmt w:val="lowerRoman"/>
      <w:suff w:val="tab"/>
      <w:lvlText w:val="%9."/>
      <w:lvlJc w:val="left"/>
      <w:pPr>
        <w:ind w:left="6508" w:hanging="0"/>
      </w:pPr>
    </w:lvl>
  </w:abstractNum>
  <w:abstractNum w:abstractNumId="11">
    <w:multiLevelType w:val="hybridMultilevel"/>
    <w:name w:val="Нумерованный список 11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shapeDefaults>
    <o:shapedefaults v:ext="edit" spidmax="1026"/>
    <o:shapelayout v:ext="edit">
      <o:rules v:ext="edit"/>
    </o:shapelayout>
  </w:shapeDefaults>
  <w:tmPrefOne w:val="17"/>
  <w:tmPrefTwo w:val="1"/>
  <w:tmFmtPref w:val="1892834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9"/>
      <w:tmLastPosIdx w:val="57"/>
    </w:tmLastPosCaret>
    <w:tmLastPosAnchor>
      <w:tmLastPosPgfIdx w:val="0"/>
      <w:tmLastPosIdx w:val="0"/>
    </w:tmLastPosAnchor>
    <w:tmLastPosTblRect w:left="0" w:top="0" w:right="0" w:bottom="0"/>
  </w:tmLastPos>
  <w:tmAppRevision w:date="1790669066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11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Quote Char"/>
    <w:rPr>
      <w:i/>
      <w:iCs/>
      <w:color w:val="000000"/>
    </w:rPr>
  </w:style>
  <w:style w:type="character" w:styleId="char17" w:customStyle="1">
    <w:name w:val="Intense Quote Char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0">
    <w:name w:val="Book Title"/>
    <w:rPr>
      <w:b/>
      <w:bCs/>
      <w:smallCaps/>
      <w:spacing w:val="74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Endnote Text Char"/>
    <w:rPr>
      <w:sz w:val="20"/>
      <w:szCs w:val="20"/>
    </w:rPr>
  </w:style>
  <w:style w:type="character" w:styleId="char23">
    <w:name w:val="Endnote Reference"/>
    <w:rPr>
      <w:vertAlign w:val="superscript"/>
    </w:rPr>
  </w:style>
  <w:style w:type="character" w:styleId="char24">
    <w:name w:val="Hyperlink"/>
    <w:rPr>
      <w:color w:val="0000ff"/>
      <w:u w:color="auto" w:val="single"/>
    </w:rPr>
  </w:style>
  <w:style w:type="character" w:styleId="char25" w:customStyle="1">
    <w:name w:val="Plain Text Char"/>
    <w:rPr>
      <w:rFonts w:ascii="Courier New" w:hAnsi="Courier New" w:cs="Courier New"/>
      <w:sz w:val="21"/>
      <w:szCs w:val="21"/>
    </w:rPr>
  </w:style>
  <w:style w:type="character" w:styleId="char26" w:customStyle="1">
    <w:name w:val="Header Char"/>
  </w:style>
  <w:style w:type="character" w:styleId="char27" w:customStyle="1">
    <w:name w:val="Footer Char"/>
  </w:style>
  <w:style w:type="character" w:styleId="char28" w:customStyle="1">
    <w:name w:val="Основной текст Знак"/>
    <w:basedOn w:val="char0"/>
    <w:rPr>
      <w:rFonts w:eastAsia="Calibri"/>
    </w:rPr>
  </w:style>
  <w:style w:type="character" w:styleId="char29" w:customStyle="1">
    <w:name w:val="Название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0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1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11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Quote Char"/>
    <w:rPr>
      <w:i/>
      <w:iCs/>
      <w:color w:val="000000"/>
    </w:rPr>
  </w:style>
  <w:style w:type="character" w:styleId="char17" w:customStyle="1">
    <w:name w:val="Intense Quote Char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0">
    <w:name w:val="Book Title"/>
    <w:rPr>
      <w:b/>
      <w:bCs/>
      <w:smallCaps/>
      <w:spacing w:val="74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Endnote Text Char"/>
    <w:rPr>
      <w:sz w:val="20"/>
      <w:szCs w:val="20"/>
    </w:rPr>
  </w:style>
  <w:style w:type="character" w:styleId="char23">
    <w:name w:val="Endnote Reference"/>
    <w:rPr>
      <w:vertAlign w:val="superscript"/>
    </w:rPr>
  </w:style>
  <w:style w:type="character" w:styleId="char24">
    <w:name w:val="Hyperlink"/>
    <w:rPr>
      <w:color w:val="0000ff"/>
      <w:u w:color="auto" w:val="single"/>
    </w:rPr>
  </w:style>
  <w:style w:type="character" w:styleId="char25" w:customStyle="1">
    <w:name w:val="Plain Text Char"/>
    <w:rPr>
      <w:rFonts w:ascii="Courier New" w:hAnsi="Courier New" w:cs="Courier New"/>
      <w:sz w:val="21"/>
      <w:szCs w:val="21"/>
    </w:rPr>
  </w:style>
  <w:style w:type="character" w:styleId="char26" w:customStyle="1">
    <w:name w:val="Header Char"/>
  </w:style>
  <w:style w:type="character" w:styleId="char27" w:customStyle="1">
    <w:name w:val="Footer Char"/>
  </w:style>
  <w:style w:type="character" w:styleId="char28" w:customStyle="1">
    <w:name w:val="Основной текст Знак"/>
    <w:basedOn w:val="char0"/>
    <w:rPr>
      <w:rFonts w:eastAsia="Calibri"/>
    </w:rPr>
  </w:style>
  <w:style w:type="character" w:styleId="char29" w:customStyle="1">
    <w:name w:val="Название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0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1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М.О.Е</dc:creator>
  <cp:keywords/>
  <dc:description/>
  <cp:lastModifiedBy/>
  <cp:revision>1</cp:revision>
  <dcterms:created xsi:type="dcterms:W3CDTF">2026-09-29T08:03:50Z</dcterms:created>
  <dcterms:modified xsi:type="dcterms:W3CDTF">2026-09-29T08:04:26Z</dcterms:modified>
</cp:coreProperties>
</file>