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Исследовательская практика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trike w:val="off"/>
          <w:dstrike w:val="off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trike w:val="off"/>
          <w:dstrike w:val="off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trike w:val="off"/>
          <w:dstrike w:val="off"/>
          <w:sz w:val="28"/>
          <w:szCs w:val="28"/>
          <w:u w:val="single"/>
        </w:rPr>
        <w:t>5.7.7. Социальная и политическая философия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с оценкой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5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r>
        <w:rPr>
          <w:rFonts w:ascii="Times New Roman" w:eastAsia="Times New Roman" w:hAnsi="Times New Roman"/>
          <w:sz w:val="24"/>
          <w:szCs w:val="24"/>
        </w:rPr>
        <w:t>планируемыми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методы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качественного и количественного анализа, необходимых для выявления проблем предмета исследования, возможности и области применения методов сбора и обработки информации, возможности информационных технологий, программного обеспечения; методы разработки плана научных исследований; способы обобщения результатов, оценки проблем, обоснования выводов и предложений, инструменты создания научного отчета, статьи, доклада, презентации, диссертации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обоснов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ывать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актуальност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проблемы исследования с помощью широкого спектра методов качественного и количественного анализа, с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и обраб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атывать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 примен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ять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 программно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 обеспечение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; представл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ять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научного исследования в  виде завершенного научного отчета, статьи, доклада, презентации, диссертации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принципами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обобщения результатов, полученных отечественными и зарубежными исследователями, исследования проблемы и получения авторских результатов, презентации и доклада результатов проведенного исследования, ответов на вопросы и критические замечания, выполнения текста диссертации в соответствии с требованиями</w:t>
            </w:r>
          </w:p>
        </w:tc>
      </w:tr>
    </w:tbl>
    <w:p w14:paraId="00000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(зачет</w:t>
      </w:r>
      <w:r>
        <w:rPr>
          <w:rFonts w:ascii="Times New Roman" w:eastAsia="Times New Roman" w:hAnsi="Times New Roman"/>
          <w:sz w:val="24"/>
          <w:szCs w:val="24"/>
        </w:rPr>
        <w:t xml:space="preserve"> с оценкой</w:t>
      </w:r>
      <w:r>
        <w:rPr>
          <w:rFonts w:ascii="Times New Roman" w:eastAsia="Times New Roman" w:hAnsi="Times New Roman"/>
          <w:sz w:val="24"/>
          <w:szCs w:val="24"/>
        </w:rPr>
        <w:t xml:space="preserve">) проводится в форме </w:t>
      </w:r>
      <w:r>
        <w:rPr>
          <w:rFonts w:ascii="Times New Roman" w:eastAsia="Times New Roman" w:hAnsi="Times New Roman"/>
          <w:sz w:val="24"/>
          <w:szCs w:val="24"/>
        </w:rPr>
        <w:t>собеседования.</w:t>
      </w:r>
    </w:p>
    <w:p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Содержание практики определяется в индивидуальном задании аспиранта. Определяется тема, по которой аспирант должен провести исследования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в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рамка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своей диссертации.</w:t>
      </w:r>
    </w:p>
    <w:p w14:paraId="0000007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77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2.1. Типовые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задания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для зачета</w:t>
      </w:r>
    </w:p>
    <w:p w14:paraId="00000078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Сбор, обработка и анализ фактического материала в соответствии с индивидуальным заданием, в том числе ознакомление со структурой организации, нормативными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документами, определяющими ее статус и функции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Определение основных методов исследования, получения фактических данных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3.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Изучение литературы,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основных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достижений отечественной и зарубежной науки в области предмета исследования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4.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Обоснование актуальности проблемы, формулировка, характеристика цели, задач исследования, характеристика объекта, определение предмета исследования,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формулировка рабочей гипотезы.</w:t>
      </w:r>
    </w:p>
    <w:p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0000007E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2.2.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вопросы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для зачета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с оценкой</w:t>
      </w:r>
    </w:p>
    <w:p w14:paraId="0000007F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14:paraId="0000008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1. Актуальность темы исследования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8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2. Критерии выбора методов исследования.</w:t>
      </w:r>
    </w:p>
    <w:p w14:paraId="0000008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3. Анализ отечественного опыта по теме исследования.</w:t>
      </w:r>
    </w:p>
    <w:p w14:paraId="0000008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4. Анализ зарубежного опыта по теме исследования.</w:t>
      </w:r>
    </w:p>
    <w:p w14:paraId="0000008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5. Верификация полученных результатов по теме исследования.</w:t>
      </w:r>
      <w:bookmarkStart w:id="0" w:name="_GoBack"/>
      <w:bookmarkEnd w:id="0"/>
    </w:p>
    <w:p w14:paraId="0000008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7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88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89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Критерии формирования оценок по зачету с оценкой</w:t>
      </w:r>
    </w:p>
    <w:p w14:paraId="0000008A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Отлично/з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 xml:space="preserve">обучающийся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 </w:t>
      </w:r>
    </w:p>
    <w:p w14:paraId="0000008B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Хорошо/зачтено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»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знаний; допустил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незначительные ошибки и неточности. </w:t>
      </w:r>
    </w:p>
    <w:p w14:paraId="0000008C">
      <w:pPr>
        <w:widowControl w:val="off"/>
        <w:spacing w:after="0"/>
        <w:ind w:right="130" w:firstLine="548"/>
        <w:jc w:val="both"/>
        <w:rPr>
          <w:rFonts w:ascii="Times New Roman" w:cs="Times New Roman" w:eastAsia="Times New Roman" w:hAnsi="Times New Roman"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«Удовлетворительно/</w:t>
      </w:r>
      <w:r>
        <w:rPr>
          <w:rFonts w:ascii="Times New Roman" w:cs="Times New Roman" w:hAnsi="Times New Roman"/>
          <w:b/>
          <w:sz w:val="24"/>
          <w:szCs w:val="24"/>
        </w:rPr>
        <w:t>зачтено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»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обучающийся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 допустил существенные ошибки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 </w:t>
      </w:r>
    </w:p>
    <w:p w14:paraId="0000008D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«Неудовлетворительно/не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08E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8F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90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91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2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3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4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5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6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1F0518"/>
    <w:rsid w:val="00236A66"/>
    <w:rsid w:val="00282BC5"/>
    <w:rsid w:val="002C1A6E"/>
    <w:rsid w:val="002D7486"/>
    <w:rsid w:val="003059B8"/>
    <w:rsid w:val="00326DBF"/>
    <w:rsid w:val="0035716F"/>
    <w:rsid w:val="00380103"/>
    <w:rsid w:val="003B1B86"/>
    <w:rsid w:val="003C69A9"/>
    <w:rsid w:val="003E41B8"/>
    <w:rsid w:val="0040486E"/>
    <w:rsid w:val="00426151"/>
    <w:rsid w:val="004C593D"/>
    <w:rsid w:val="00534A88"/>
    <w:rsid w:val="00557E38"/>
    <w:rsid w:val="00571F41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832F0"/>
    <w:rsid w:val="006B1DDC"/>
    <w:rsid w:val="0070021F"/>
    <w:rsid w:val="007021ED"/>
    <w:rsid w:val="00715FC1"/>
    <w:rsid w:val="00721320"/>
    <w:rsid w:val="00734852"/>
    <w:rsid w:val="00757BD2"/>
    <w:rsid w:val="007918D1"/>
    <w:rsid w:val="007B4CC5"/>
    <w:rsid w:val="007D256F"/>
    <w:rsid w:val="007D76D4"/>
    <w:rsid w:val="007E6550"/>
    <w:rsid w:val="007E7EC9"/>
    <w:rsid w:val="00830AE9"/>
    <w:rsid w:val="00832AD0"/>
    <w:rsid w:val="008457BE"/>
    <w:rsid w:val="00886B3A"/>
    <w:rsid w:val="008A07C2"/>
    <w:rsid w:val="008A3A1C"/>
    <w:rsid w:val="00913066"/>
    <w:rsid w:val="00924634"/>
    <w:rsid w:val="00951D8F"/>
    <w:rsid w:val="009575CC"/>
    <w:rsid w:val="009E5CB8"/>
    <w:rsid w:val="009F1F32"/>
    <w:rsid w:val="00A332D0"/>
    <w:rsid w:val="00A72B6A"/>
    <w:rsid w:val="00AA028D"/>
    <w:rsid w:val="00AA56B7"/>
    <w:rsid w:val="00AD2437"/>
    <w:rsid w:val="00B112A1"/>
    <w:rsid w:val="00B21D33"/>
    <w:rsid w:val="00B439C6"/>
    <w:rsid w:val="00BF294E"/>
    <w:rsid w:val="00BF508B"/>
    <w:rsid w:val="00C4484E"/>
    <w:rsid w:val="00C774A7"/>
    <w:rsid w:val="00C83A24"/>
    <w:rsid w:val="00CB2DD8"/>
    <w:rsid w:val="00CE4BE8"/>
    <w:rsid w:val="00CE527F"/>
    <w:rsid w:val="00D60095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114B"/>
    <w:rsid w:val="00F95CA7"/>
    <w:rsid w:val="00FA286C"/>
    <w:rsid w:val="00FA2EB0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