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Истории и философии науки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1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4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кандидатский экзамен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2</w:t>
      </w:r>
      <w:r>
        <w:rPr>
          <w:rFonts w:ascii="Times New Roman" w:cs="Times New Roman" w:hAnsi="Times New Roman"/>
          <w:color w:val="000000"/>
          <w:sz w:val="24"/>
          <w:szCs w:val="24"/>
        </w:rPr>
        <w:t>семестр.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основные этапы становления современного научного знания;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философские концепции науки и научного познания;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общие принципы методологии современной науки.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искать, классифицировать и анализировать информацию по истории науки;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анализировать и понимать современные философские концепции научного знания;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применять современные методы научного познания.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системного и критического мышления;</w:t>
            </w:r>
          </w:p>
          <w:p w14:paraId="0000007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аргументации собственного решения научно-исследовательской проблемы на основе системного подхода.</w:t>
            </w:r>
          </w:p>
        </w:tc>
      </w:tr>
    </w:tbl>
    <w:p w14:paraId="00000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</w:t>
      </w:r>
      <w:r>
        <w:rPr>
          <w:rFonts w:ascii="Times New Roman" w:eastAsia="Times New Roman" w:hAnsi="Times New Roman"/>
          <w:sz w:val="24"/>
          <w:szCs w:val="24"/>
        </w:rPr>
        <w:t xml:space="preserve">устной </w:t>
      </w:r>
      <w:r>
        <w:rPr>
          <w:rFonts w:ascii="Times New Roman" w:eastAsia="Times New Roman" w:hAnsi="Times New Roman"/>
          <w:sz w:val="24"/>
          <w:szCs w:val="24"/>
        </w:rPr>
        <w:t>форме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eastAsia="Times New Roman" w:hAnsi="Times New Roman"/>
          <w:sz w:val="24"/>
          <w:szCs w:val="24"/>
        </w:rPr>
        <w:t>(кандидатский экзамен</w:t>
      </w:r>
      <w:r>
        <w:rPr>
          <w:rFonts w:ascii="Times New Roman" w:eastAsia="Times New Roman" w:hAnsi="Times New Roman"/>
          <w:sz w:val="24"/>
          <w:szCs w:val="24"/>
        </w:rPr>
        <w:t xml:space="preserve">) проводится в </w:t>
      </w:r>
      <w:r>
        <w:rPr>
          <w:rFonts w:ascii="Times New Roman" w:eastAsia="Times New Roman" w:hAnsi="Times New Roman"/>
          <w:sz w:val="24"/>
          <w:szCs w:val="24"/>
        </w:rPr>
        <w:t>устной форме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9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Наука как форма человеческой деятельности, её роль и значение в жизни человека и общества. </w:t>
      </w:r>
    </w:p>
    <w:p w14:paraId="0000007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Научная картина мира. </w:t>
      </w:r>
    </w:p>
    <w:p w14:paraId="0000007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Зарождение научного знания. 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Проблема периодизации науки. </w:t>
      </w:r>
    </w:p>
    <w:p w14:paraId="0000007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5. Становление классической науки в XVI-XVII веках. </w:t>
      </w:r>
    </w:p>
    <w:p w14:paraId="0000008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6. Основные принципы науки и философии Нового времени.</w:t>
      </w: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7. Наука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рубеже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XIX и XX веков: коренное изменение принципов и структуры научного знания. 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8. Классическая, неклассическая 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наука. 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9. Философское осмысление научного знания в XVII-XIX вв. 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10. Философия науки в XX в.: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Л.Витгенштейн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неопозитивизм. </w:t>
      </w: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Постпозитивизм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Философия науки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К.Поппера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8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12. Историческая школа философии науки: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Т.Кун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И.Лакатос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8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13. Философия науки в последней трети XX века: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П.Фейерабенд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М.Полани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улмин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В.С.Стёпин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8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14. Аналитическая философия науки. </w:t>
      </w:r>
    </w:p>
    <w:p w14:paraId="0000008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8A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2.2.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Типовые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задания для реферата</w:t>
      </w:r>
    </w:p>
    <w:p w14:paraId="0000008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Обязательным элементом подготовки к сдаче кандидатского экзамена является написание реферата. Реферат подготавливается экзаменуемым по историческим проблемам собственной области исследований. Тема реферата определяется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исходя из темы диссертации на соискание ученой степени кандидата наук экзаменуемого 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согласовывается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 научным руководителем и преподавателем по дисциплине, направленной на подготовку к сдаче кандидатского экзамена по истории и философии науки.</w:t>
      </w:r>
    </w:p>
    <w:p w14:paraId="0000008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Смысл написания реферата заключается в самостоятельном, полном и качественном раскрытии темы. Его содержание должно продемонстрировать умение экзаменуемого ставить цель и задачи работы, а также достигать их в процессе изучения материала, работать с литературой и другими источниками, обосновывать собственные выводы и положения. </w:t>
      </w:r>
    </w:p>
    <w:p w14:paraId="0000008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Структура реферата включает титульный лист, содержание, введение, основную часть, заключение, список использованной литературы.</w:t>
      </w:r>
    </w:p>
    <w:p w14:paraId="0000008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Содержание включает наименование глав, разделов, параграфов с указанием номера страницы, с которой они начинаются.</w:t>
      </w:r>
    </w:p>
    <w:p w14:paraId="0000008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Во введении раскрывается значение выбранной темы, степень её исследованности, цель и задачи работы, формулируются основные положения темы и структура работы.</w:t>
      </w:r>
    </w:p>
    <w:p w14:paraId="0000009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Текст основной части делится на главы, разделы или параграфы, здесь излагается содержание работы. В основной части целесообразно выделение 2-3 вопросов, отражающих разные аспекты темы. В реферате важно привести различные точки зрения на проблему и дать им оценку.</w:t>
      </w:r>
    </w:p>
    <w:p w14:paraId="0000009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 заключении подводятся итоги рассмотрения темы. Приветствуется определение автором перспективных направлений по изучению проблемы.</w:t>
      </w:r>
    </w:p>
    <w:p w14:paraId="0000009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  <w:lang w:eastAsia="en-US"/>
        </w:rPr>
      </w:pPr>
    </w:p>
    <w:p w14:paraId="00000093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2.3.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 контрольные вопросы для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экзамена</w:t>
      </w:r>
    </w:p>
    <w:p w14:paraId="00000094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</w:p>
    <w:p w14:paraId="0000009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Содержание программы кандидатского экзамена по истории и философии науки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.</w:t>
      </w:r>
    </w:p>
    <w:p w14:paraId="0000009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  <w:lang w:eastAsia="en-US"/>
        </w:rPr>
        <w:t>Общие проблемы философии науки</w:t>
      </w:r>
    </w:p>
    <w:p w14:paraId="0000009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1. Предмет и основные концепции современной философии науки</w:t>
      </w:r>
    </w:p>
    <w:p w14:paraId="0000009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Три аспекта бытия науки: наука как генерация нового знания, как социальный институт, как особая сфера культуры.</w:t>
      </w:r>
    </w:p>
    <w:p w14:paraId="0000009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Логико-эпистемологический подход к исследованию науки. Позитивистская традиция в философии науки. Расширение поля философской проблематики 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постпозитивистской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философии науки. Концепции К. Поппера, И.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Лакатоса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Т.Куна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П.Фейерабенда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М.Полани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9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Социологический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культурологический подходы к исследова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softHyphen/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нию развитии науки. Проблема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интернализма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экстернализма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понимании механизмов научной деятельности. Концепции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М.Вебера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А.Койре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Р.Мертона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М.Малкея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9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2. Наука в культуре современной цивилизации</w:t>
      </w:r>
    </w:p>
    <w:p w14:paraId="0000009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Традиционалистский и техногенный типы цивилизационного развития и их базисные ценности. Ценность научной рациональности.</w:t>
      </w:r>
    </w:p>
    <w:p w14:paraId="0000009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Наука и философия. Наука и искусство.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14:paraId="0000009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3. Возникновение науки и основные стадии её исторической эволюции</w:t>
      </w:r>
    </w:p>
    <w:p w14:paraId="0000009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Преднаука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14:paraId="000000A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творец с маленькой буквы; манипуляция с природными объектами – алхимия, астрология, магия. Западная и восточная средневековая наука.</w:t>
      </w:r>
    </w:p>
    <w:p w14:paraId="000000A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Становление опытной науки в новоевропейской культуре. Формирование идеалов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математизированного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опытного знания: оксфордская школа, Роджер Бэкон, Уильям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Оккам. Предпосылки возникновения экспериментального метода и его соединения с математическим описанием природы.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Г.Галилей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Ф.Бэкон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Р.Декарт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 Мировоззренческая роль науки в новоевропейской культуре. Социокультурные предпосылки возникновения экспериментального метода и его соединения с математическим описанием природы.</w:t>
      </w:r>
    </w:p>
    <w:p w14:paraId="000000A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Формирование науки как профессиональной деятельности. Возникновение дисциплинарно-организованной науки. Технологические применения науки. Формирование технических наук.</w:t>
      </w:r>
    </w:p>
    <w:p w14:paraId="000000A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14:paraId="000000A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4. Структура научного знания</w:t>
      </w:r>
    </w:p>
    <w:p w14:paraId="000000A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Научное знание как сложная развивающаяся система. Многообразие типов научного знания. Эмпирический и теоретический уровни, критерии их различения. Особенности эмпирического и теоретического языка науки.</w:t>
      </w:r>
    </w:p>
    <w:p w14:paraId="000000A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Структура эмпирического знания. Эксперимент и наблюдение. Случайные и систематические наблюдения. Применение естественных объектов в функции приборов в систематическом наблюдении. Данные наблюдения как тип эмпирического знания. Эмпирические зависимости и эмпирические факты. Процедуры формирования факта. Проблема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теоретической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нагруженности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факта.</w:t>
      </w:r>
    </w:p>
    <w:p w14:paraId="000000A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Структуры теоретического знания. Первичные теоретические модели и законы. Развитая теория.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Парадигмальные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образцы решения задач в составе теории. Проблемы генезиса образцов. Математизация теоретического знания. Виды интерпретации математического аппарата теории.</w:t>
      </w:r>
    </w:p>
    <w:p w14:paraId="000000A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Основания науки. Структура оснований. Идеалы и нормы исследования и их социокультурная размерность. Система идеалов и норм как схема метода деятельности.</w:t>
      </w:r>
    </w:p>
    <w:p w14:paraId="000000A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Научная картина мира. Исторические формы научной картины мира. Функции научной картины мира (картина мира как онтология, как форма систематизации знания, как исследовательская программа).</w:t>
      </w:r>
    </w:p>
    <w:p w14:paraId="000000A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Операциональные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основания научной картины мира. Отношение онтологических постулатов науки к мировоззренческим доминантам культуры.</w:t>
      </w:r>
    </w:p>
    <w:p w14:paraId="000000A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</w:t>
      </w:r>
    </w:p>
    <w:p w14:paraId="000000A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5. Динамика науки как процесс порождения нового знания</w:t>
      </w:r>
    </w:p>
    <w:p w14:paraId="000000A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</w:t>
      </w:r>
    </w:p>
    <w:p w14:paraId="000000A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14:paraId="000000A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14:paraId="000000B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14:paraId="000000B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Проблема включения новых теоретических представлений в культуру.</w:t>
      </w:r>
    </w:p>
    <w:p w14:paraId="000000B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6. Научные традиции и научные революции. Типы научной рациональности</w:t>
      </w:r>
    </w:p>
    <w:p w14:paraId="000000B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Внутридисциплинарные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механизмы научных революций. Междисциплинарные взаимодействия и "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парадигмальные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прививки" как фактор революционных преобразований в науке. Социокультурные предпосылки глобальных научных революций.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14:paraId="000000B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Научные революции как точки бифуркации в развитии знания. Нелинейность роста знаний. Селективная роль культурных тради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softHyphen/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ций в выборе стратегий научного развития. Проблема потенциально возможных историй науки.</w:t>
      </w:r>
    </w:p>
    <w:p w14:paraId="000000B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наука.</w:t>
      </w:r>
    </w:p>
    <w:p w14:paraId="000000B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7. Особенности современного этапа развития науки. Перспективы научно-технического прогресса</w:t>
      </w:r>
    </w:p>
    <w:p w14:paraId="000000B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Главные характеристики современной,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"синергетических"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естественнонаучного и социально-гуманитарного познания. Осмысление связей социальных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внутринаучных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ценностей как условие современного развития науки. Включение социальных ценностей в процесс выбора стратегий ис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softHyphen/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следовательской деятельности. Расширение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этоса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идеологизированной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 Экологическая этика и ее философские основания. Философия русского космизма и учение В.И. Вернадского о биосфере,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техносфере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ноосфере. Проблемы экологической этики в современной западной философии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Б.Калликот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О.Леопольд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Р.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Аттфильд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). </w:t>
      </w:r>
    </w:p>
    <w:p w14:paraId="000000B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наука и изменение мировоззренческих установок техногенной цивилизации. Сциентизм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антисциентизм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. Наука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паранаука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 Поиск нового типа цивилизационного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14:paraId="000000B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8. Наука как социальный институт</w:t>
      </w:r>
    </w:p>
    <w:p w14:paraId="000000B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учёных 17 века;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14:paraId="000000B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Философские проблемы социально-гуманитарных наук</w:t>
      </w:r>
    </w:p>
    <w:p w14:paraId="000000B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1. Общетеоретические подходы </w:t>
      </w:r>
    </w:p>
    <w:p w14:paraId="000000B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Философия как интегральная форма научных знаний, в том числе и знаний об обществе, культуре, истории и человеке (Платон, Аристотель, Кант, Гегель, Гоббс, Локк и др.). Донаучные, ненаучные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 об обществе, культуре, истории и человеке. Формирование научных дисциплин социально-гуманитарного цикла: эмпирические сведения и историко-логические реконструкции.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 Зависимость СГН от социального контекста: классическая, неклассическая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наука. СГН как феномен, зародившийся на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Западе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, его общечеловеческое значение. Российский конте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кст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именения социального знания и смены его парадигм.</w:t>
      </w:r>
    </w:p>
    <w:p w14:paraId="000000B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2. Специфика объекта и предмета социально-гуманитарного познания </w:t>
      </w:r>
    </w:p>
    <w:p w14:paraId="000000B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неповторяемость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уникальность, случайность, изменчивость. Конвергенция естественнонаучного и социально-гуманитарного знания в неклассической науке, эволюция и механизмы взаимодействия.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Гуманизация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гуманитаризация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современного естествознания. Возможность применения математики и компьютерного моделирования в СГН. Научная картина мира в социально-гуманитарных науках.</w:t>
      </w:r>
    </w:p>
    <w:p w14:paraId="000000C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3. Субъект социально-гуманитарного познания </w:t>
      </w:r>
    </w:p>
    <w:p w14:paraId="000000C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Индивидуальный субъект, его форма существования. Включенность сознания субъекта, его системы ценностей и интересов в объект исследования СГН. Личностное неявное знание субъекта.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Индивидуальное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коллективное бессознательное в гуманитарном познании. Коллективный субъект, его формы существования. Научное сообщество как субъект познания. Коммуникативная рациональность. Роль традиций, ценностей, образцов интерпретации и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пред-рассудков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Гадамер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 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межсубъектном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понимании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смыслополагании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C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4. Природа ценностей и их роль в социально-гуманитарном познании </w:t>
      </w:r>
    </w:p>
    <w:p w14:paraId="000000C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И.Кант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: диалектика теоретического и практического (нравственного) разума. Методологические функции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предпосылочного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знания» и регулятивных принципов в науке. Явные и неявные ценностные предпосылки как следствия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СГН. Оценочные суждения в науке и необходимость «ценностной нейтральности» в социальном исследовании. Принципы «логики социальных наук»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К.Поппера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. 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социально-гуманитарных наук.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критерии: принципы красоты и простоты в социально-гуманитарном познании.</w:t>
      </w:r>
    </w:p>
    <w:p w14:paraId="000000C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5. Жизнь как категория наук об обществе и культуре </w:t>
      </w:r>
    </w:p>
    <w:p w14:paraId="000000C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Понимание жизни за пределами ее биологических смыслов. Социокультурное и гуманитарное содержание понятия жизни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А.Бергсон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В.Дильтей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, философская антропология). Ограниченность применения естественнонаучных методов, причинных схем. Познание и «переживание» жизни — основное содержание художественных произведений. История — одна из форм проявления жизни, объективация жизни во времени, никогда не завершаемое целое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Г.Зиммель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О.Шпенглер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Э.Гуссерль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др.).</w:t>
      </w:r>
    </w:p>
    <w:p w14:paraId="000000C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6. Время, пространство,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хронотоп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социальном и гуманитарном знании </w:t>
      </w:r>
    </w:p>
    <w:p w14:paraId="000000C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Различие времени как параметра физических событий и времени как общего условия и меры становления человеческого бытия, осуществления жизни. Объективное и субъективное время. Социальное и культурно-историческое время. Переосмысление категорий пространства и времени в гуманитарном контексте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М.М.Бахтин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). Введение понятия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хронотопа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как конкретного единства пространственно-временных характеристик. Особенности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художественного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хронотопа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».</w:t>
      </w:r>
    </w:p>
    <w:p w14:paraId="000000C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7.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науках об обществе и культуре: методологические следствия и императивы </w:t>
      </w:r>
    </w:p>
    <w:p w14:paraId="000000C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Рождение знания  в  процессе  взаимодействия 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коммуницирующих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индивидов».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(общение ученых) как условие создания нового социально-гуманитарного знания и выражение социокультурной природы научного познания. Научные конвенции (соглашения, договоренности) как необходимость и следствие коммуникативной природы познания. Моральная ответственность ученого за введение конвенций.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Индоктринация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— внедрение, распространение и «внушение» какой-либо доктрины как одно из следствий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</w:t>
      </w:r>
    </w:p>
    <w:p w14:paraId="000000C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8. Проблема истинности и рациональности в социально-гуманитарных науках </w:t>
      </w:r>
    </w:p>
    <w:p w14:paraId="000000C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Рациональное, объективное, истинное в СГН. Классическая и неклассическая концепции истины в СГН. Экзистенциальная истина, истина и правда. Проблема истины 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свете практического применения СГН.  Плюрализм и социологическое требование отсутствия монополии на истину. Релятивизм, психологизм, историзм в СГН и проблема истины.</w:t>
      </w:r>
    </w:p>
    <w:p w14:paraId="000000C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9. Объяснение, понимание, интерпретация в социальных и гуманитарных науках </w:t>
      </w:r>
    </w:p>
    <w:p w14:paraId="000000C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Объяснение и понимание как следствие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 Природа и типы объяснений. Объяснение - функция теории. Понимание в гуманитарных науках, необходимость обращения к герменевтике как "органоне наук о духе"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В.Дильтей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, Г.-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Г.Гадамер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). Специфика понимания: не может быть репрезентировано формулами логических операций, требует обращения к целостному человеку, его жизнедеятельности, опыту, языку и истории. Герменевтика – наука о понимании и интерпретации текста.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 Интерпретация как придание смыслов, значений высказываниям, текстам, явлениям и событиям – общенаучный метод и базовая операция социально-гуманитарного познания. Проблема «исторической дистанции»,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временного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отстояния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Гадамер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) в интерпретации и понимании. Объяснение и понимание в социологии, исторической, экономической и юридической науках, психологии, филологии, культурологии.</w:t>
      </w:r>
    </w:p>
    <w:p w14:paraId="000000C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10. Вера, сомнение, знание в социально-гуманитарных науках</w:t>
      </w:r>
    </w:p>
    <w:p w14:paraId="000000C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Вера и знание, достоверность и сомнение,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укорененность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веры как «формы жизни»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Л.Витгенштейн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 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допонятийных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структурах. Диалектика веры и сомнения. "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Встроенность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" субъективной веры во все процессы познания и жизнедеятельности, скрытый, латентный характер верований как эмпирических представлений и суждений. Конструктивная роль веры как условия «бытия среди людей»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Л.Витгенштейн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). Вера и верования - обязательные компоненты и основания личностного знания, результат сенсорных процессов, социального опыта, "образцов" и установок, апробированных в культуре. Вера и понимание в контексте коммуникаций. Вера и истина. Разные типы обоснования веры и знания. Совместное рассмотрение веры и истины - традиция, укорененная в европейской философии. "Философская вера" как вера мыслящего человека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К.Ясперс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). </w:t>
      </w:r>
    </w:p>
    <w:p w14:paraId="000000D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11. Основные исследовательские программы СГН </w:t>
      </w:r>
    </w:p>
    <w:p w14:paraId="000000D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Натуралистическая исследовательская программа.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Антинатуралистическая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исследовательская программа. Общенаучное значение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натуралистической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антинатуралистической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исследовательских программ.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Натуралистическая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антинатуралистическая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исследовательские программы в социологии, исторической, экономической и юридической науках, психологии, филологии, культурологии.</w:t>
      </w:r>
    </w:p>
    <w:p w14:paraId="000000D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12. Разделение СГН на социальные и гуманитарные науки</w:t>
      </w:r>
    </w:p>
    <w:p w14:paraId="000000D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Проблема разделения  социальных и гуманитарных наук (по предмету, по методу, по предмету и методу одновременно, по исследовательским программам). Методы социальных и гуманитарных наук.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Вненаучное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социальное знание. Отличие гуманитарных наук от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знания. Взаимодействие социальных, гуманитарных наук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 в экспертизах социальных проектов и программ.</w:t>
      </w:r>
    </w:p>
    <w:p w14:paraId="000000D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13. «Общество знания». Дисциплинарная структура и роль социально-гуманитарных наук в процессе социальных трансформаций </w:t>
      </w:r>
    </w:p>
    <w:p w14:paraId="000000D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Дисциплинарная структура социально-гуманитарного знания и междисциплинарные исследования. Изменения дисциплинарной структуры СГН, сложившейся в XIX веке. Смена лидирующих дисциплин. Переопределение парадигм и тем, появление новых областей исследования. Возрастание роли знания в обществе. «Общество знания». Участие СГН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 в экспертизах социальных проектов и программ. Значение опережающих социальных исследований для решения социальных проблем и предотвращения социальных рисков.</w:t>
      </w:r>
    </w:p>
    <w:p w14:paraId="000000D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D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Вопросы к экзамену:</w:t>
      </w:r>
    </w:p>
    <w:p w14:paraId="000000D8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Предмет философии науки, основные этапы ее развития. Место философии науки в системе научного и философского знания.</w:t>
      </w:r>
    </w:p>
    <w:p w14:paraId="000000D9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Место и роль науки в цивилизациях разного типа. Наука и иные формы освоения мира. Функции науки в жизни современного общества</w:t>
      </w:r>
    </w:p>
    <w:p w14:paraId="000000DA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Основные гносеологические концепции античности в связи с рождением и развитием науки. Пифагореизм, элейская школа, атомизм как научные программы. Математика и физика в философии Платона, Аристотеля.</w:t>
      </w:r>
    </w:p>
    <w:p w14:paraId="000000DB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Основные проблемы и идеи философии Нового времени. Влияние эмпиризма, рационализма, трансцендентализма на науку и методологию.</w:t>
      </w:r>
    </w:p>
    <w:p w14:paraId="000000DC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Исторические этапы становления и развития научного знания. Основные подходы к истории науки. Возникновение дисциплинарно организованного знания.</w:t>
      </w:r>
    </w:p>
    <w:p w14:paraId="000000DD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Научная революция </w:t>
      </w:r>
      <w:r>
        <w:rPr>
          <w:rFonts w:ascii="Times New Roman" w:cs="Times New Roman" w:eastAsia="Times New Roman" w:hAnsi="Times New Roman"/>
          <w:sz w:val="24"/>
          <w:szCs w:val="24"/>
          <w:lang w:val="en-US" w:eastAsia="en-US"/>
        </w:rPr>
        <w:t>XVI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val="en-US" w:eastAsia="en-US"/>
        </w:rPr>
        <w:t>XVII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вв. и возникновение экспериментальной науки.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Галилевская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наука против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аристотелевско-птолемеевской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DE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Основные этапы развития науки: неклассическая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модель науки</w:t>
      </w:r>
    </w:p>
    <w:p w14:paraId="000000DF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Базовые концепции философии науки.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Позитивизм Конта, Спенсера,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Дж.С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. Милля (первый позитивизм).</w:t>
      </w:r>
    </w:p>
    <w:p w14:paraId="000000E0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Эмпириокритицизм как направление в философии науки (второй позитивизм)</w:t>
      </w:r>
    </w:p>
    <w:p w14:paraId="000000E1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Идеи и проблемы неопозитивизма как направления в философии науки ХХ в.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Витгенштейн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, Венский кружок, логический позитивизм (третий позитивизм)</w:t>
      </w:r>
    </w:p>
    <w:p w14:paraId="000000E2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Развитие философии науки во второй половине XX в. Кун,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Лакатос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Фейерабенд</w:t>
      </w:r>
    </w:p>
    <w:p w14:paraId="000000E3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Логика и рост научного,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фальсификационизм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, критический рационализм Поппера</w:t>
      </w:r>
    </w:p>
    <w:p w14:paraId="000000E4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 xml:space="preserve">Проблема развития науки. </w:t>
      </w: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Интернализм</w:t>
      </w: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экстернализм</w:t>
      </w:r>
    </w:p>
    <w:p w14:paraId="000000E5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Субъект и объект исследования в структуре научного познания</w:t>
      </w:r>
    </w:p>
    <w:p w14:paraId="000000E6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Структура научного познания. Эмпирический и теоретический уровни научного исследования</w:t>
      </w:r>
    </w:p>
    <w:p w14:paraId="000000E7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 xml:space="preserve">Структура, методы эмпирического исследования </w:t>
      </w:r>
    </w:p>
    <w:p w14:paraId="000000E8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Структура, методы теоретического исследования.</w:t>
      </w:r>
    </w:p>
    <w:p w14:paraId="000000E9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Институциональная организация науки и ее историческая эволюция</w:t>
      </w:r>
    </w:p>
    <w:p w14:paraId="000000EA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Организационные формы науки. Формальные и неформальные общности. Формы научной коммуникации. </w:t>
      </w:r>
    </w:p>
    <w:p w14:paraId="000000EB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Наука как призвание и профессия. Этика науки.</w:t>
      </w:r>
    </w:p>
    <w:p w14:paraId="000000EC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Традиции и революции в истории науки. Научная революция: генезис и трансформация понятия</w:t>
      </w:r>
    </w:p>
    <w:p w14:paraId="000000ED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Понятие научной рациональности и ее исторических типов</w:t>
      </w:r>
    </w:p>
    <w:p w14:paraId="000000EE">
      <w:pPr>
        <w:widowControl w:val="off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Основания научного знания (научная картина мира, идеалы и нормы научного исследования, философские основания науки)</w:t>
      </w:r>
    </w:p>
    <w:p w14:paraId="000000EF">
      <w:pPr>
        <w:widowControl w:val="off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Проблема истины в науке и философии. Концепции истины</w:t>
      </w:r>
    </w:p>
    <w:p w14:paraId="000000F0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Рациональность в современной культуре. Наука и псевдонаука</w:t>
      </w:r>
    </w:p>
    <w:p w14:paraId="000000F1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Развитие научного знания о человеке и обществе (концепции общества и человека в античной философии, философии нового и новейшего времени).</w:t>
      </w:r>
    </w:p>
    <w:p w14:paraId="000000F2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Становление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социально-гума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нитарных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 как самостоятель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ной области научного знания. Дисциплинарная структура совре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менного со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циально-гуманитарного знания. Взаимод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ействие конкретной [по специаль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ности аспиранта] социальной, гуманитарной науки с системой социально-гуманитарных наук.</w:t>
      </w:r>
    </w:p>
    <w:p w14:paraId="000000F3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Социальные и гуманитарные науки. Основные исследовательские программы в изучении социальной реальности. (Как данные программы представлены в конкретной [по специальности аспиранта] социальной, гуманитарной науки).</w:t>
      </w:r>
    </w:p>
    <w:p w14:paraId="000000F4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Сходство и различие наук 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природе и наук о духе. Уникаль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ность, событийность, многообразие объектов социального познания (в том числе в научном направлении аспиранта)</w:t>
      </w:r>
    </w:p>
    <w:p w14:paraId="000000F5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Субъект социально-гуманитарного знания, его специфика и форма существования. Связь субъекта и объекта социального познания (сознание, ценность,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интересы в структуре субъекта). Смы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сл в стр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уктуре познания.</w:t>
      </w:r>
    </w:p>
    <w:p w14:paraId="000000F6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Специфика социального пространства и времени. (Их проявление в той сфере человеческого мира, которая является предметом изучения данной науки)</w:t>
      </w:r>
    </w:p>
    <w:p w14:paraId="000000F7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Проблема порядка (законосообразности) социокультурного мира. (Специфика законов изучаемых данной конкретной наукой).</w:t>
      </w:r>
    </w:p>
    <w:p w14:paraId="000000F8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Структура знания о социокультурном мире. Практическое знание и теоретическое знание. </w:t>
      </w:r>
    </w:p>
    <w:p w14:paraId="000000F9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Специфика субъекта познания в социально-гуманитарных науках.</w:t>
      </w:r>
    </w:p>
    <w:p w14:paraId="000000FA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Герменевтика – наука о понимании и интерпретации текста.</w:t>
      </w:r>
    </w:p>
    <w:p w14:paraId="000000FB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Вера, сомнение, ценности на уровне практического и теоретического знания. Функции ценностей в научном познании (в том числе в научном направлении аспиранта).</w:t>
      </w:r>
    </w:p>
    <w:p w14:paraId="000000FC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Особенности методологии социально-гуманитарных наук. Науки и природе и науке о духе: дискуссии (неокантианство, философия жизни, феноменология)</w:t>
      </w:r>
    </w:p>
    <w:p w14:paraId="000000FD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Объяснение, понимание, интерпретация в теоретическом знании (в том числе в научном направлении аспиранта). </w:t>
      </w:r>
    </w:p>
    <w:p w14:paraId="000000FE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Роль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иррационального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социально-гуманитарном познании. Интуиция в как вид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иррационального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науке.</w:t>
      </w:r>
    </w:p>
    <w:p w14:paraId="000000FF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Критическая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методологии в социально-гуманитарном познании.</w:t>
      </w:r>
    </w:p>
    <w:p w14:paraId="00000100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Проблема использования количественных и естественнонаучных методов в социально-гуманитарных исследованиях. </w:t>
      </w:r>
    </w:p>
    <w:p w14:paraId="00000101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Проблема истинности в со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циально-гуманитарных науках. Ис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тина и правда.</w:t>
      </w:r>
    </w:p>
    <w:p w14:paraId="00000102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Роль социально-гуманитарных наук в процессе социальных трансформаций.</w:t>
      </w:r>
    </w:p>
    <w:p w14:paraId="00000103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Дискуссия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Адорно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Поппера по проблеме «Логика и методология социальных наук»</w:t>
      </w:r>
    </w:p>
    <w:p w14:paraId="00000104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Наука и Просвещение. Подход к проекту Просвещения Канта, Фуко,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Хабермаса</w:t>
      </w:r>
    </w:p>
    <w:p w14:paraId="00000105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Университет и социально-гуманитарные науки в обществе инноваций</w:t>
      </w:r>
    </w:p>
    <w:p w14:paraId="00000106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От гуманитарного знания к гуманитарным технологиям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познании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(в том числе в научном направлении аспиранта). </w:t>
      </w:r>
    </w:p>
    <w:p w14:paraId="00000107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Цифровая трансформация в социально-гуманитарном знании познании (в том числе в научном направлении аспиранта).</w:t>
      </w:r>
    </w:p>
    <w:p w14:paraId="00000108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Философия и методология экономической науки.</w:t>
      </w:r>
    </w:p>
    <w:p w14:paraId="00000109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Философия и модели образовательной деятельности.</w:t>
      </w:r>
    </w:p>
    <w:p w14:paraId="0000010A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10B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10C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10D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10E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10F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110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111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112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 xml:space="preserve">Критерии оценки 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реферата</w:t>
      </w:r>
    </w:p>
    <w:p w14:paraId="00000113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</w:p>
    <w:p w14:paraId="0000011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  <w:t xml:space="preserve">Качество представленного реферата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оценивается на</w:t>
      </w:r>
      <w:r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  <w:t>:</w:t>
      </w:r>
    </w:p>
    <w:p w14:paraId="0000011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«отлично»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глубоко и полно раскрыты философские, исторические и методологические основания выбранной темы, полностью выявлены связи рассмотренных оснований с темой собственного исследования, реферат оформлен в полном соответствии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 требованиями ГОСТ;</w:t>
      </w:r>
    </w:p>
    <w:p w14:paraId="0000011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«хорошо»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глубоко и полно раскрыты только философские, либо только исторические, либо только методологические основания выбранной темы, в целом выявлены связи рассмотренных оснований с темой собственного исследования, но не использованы в работе все заявленные основания, реферат оформлен в соответствии с требованиями ГОСТ;</w:t>
      </w:r>
    </w:p>
    <w:p w14:paraId="0000011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раскрыты только философские, либо только исторические, либо только методологические основания выбранной темы, выявлены связи лишь некоторой части рассмотренных оснований с темой собственного исследования, реферат оформлен с отступлением от требований ГОСТ;</w:t>
      </w:r>
    </w:p>
    <w:p w14:paraId="0000011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 xml:space="preserve">«неудовлетворительно»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– не раскрыты в достаточной степени ни философские, ни исторические, ни методологические основания выбранной темы, не выявлены связи рассмотренных оснований с темой собственного исследования, реферат оформлен с отступлением от требований ГОСТ.</w:t>
      </w:r>
    </w:p>
    <w:p w14:paraId="00000119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</w:p>
    <w:p w14:paraId="0000011A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Критерии оценки ответа на кандидатском экзамене</w:t>
      </w:r>
    </w:p>
    <w:p w14:paraId="0000011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При оценке знаний и уровня подготовки экзаменуемого определяется уровень освоения материала, предусмотренного рабочей программой дисциплины, направленной на подготовку к сдаче кандидатского экзамена по истории и философии науки, умение использовать теоретические знания при выполнении практических задач, обоснованность, четкость, краткость изложения ответа.</w:t>
      </w:r>
    </w:p>
    <w:p w14:paraId="0000011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«отлично»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экзаменуемый обнаружил всестороннее, систематическое и глубокое знание терминов и концепций истории и философии науки, усвоил содержание основной и дополнительной литературы, способен понимать и квалифицированно применять в рамках своей области исследований историко-философский взгляд на развитие научного познания;</w:t>
      </w:r>
    </w:p>
    <w:p w14:paraId="0000011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«хорошо»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экзаменуемый обнаружил полное знание основных разделов и понятий истории и философии науки, усвоил содержание основной литературы, показал систематический характер знаний по теоретическим и прикладным проблемам истории и философии науки;</w:t>
      </w:r>
    </w:p>
    <w:p w14:paraId="0000011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экзаменуемый обнаружил знания основного учебно-программного материала в объеме, необходимом для дальнейшего ориентирования в основных проблемах истории и философии науки, знает базовую историко-философскую терминологию и знаком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взглядами ведущих представителей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науковедения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 Оценка «удовлетворительно» выставляется экзаменуемым, 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преподавателя;</w:t>
      </w:r>
    </w:p>
    <w:p w14:paraId="0000011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«неудовлетворительно»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экзаменуемый обнаружил пробелы в знаниях основного учебно-программного материала, допустил принципиальные ошибки в выполнении предусмотренных программой заданий, не знает основной категориальный аппарат истории и философии науки.</w:t>
      </w:r>
    </w:p>
    <w:p w14:paraId="00000120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121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122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123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124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125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126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127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128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 w:val="on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22EFC"/>
    <w:rsid w:val="00054C7D"/>
    <w:rsid w:val="00057D7B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324B3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F7591"/>
    <w:rsid w:val="00830AE9"/>
    <w:rsid w:val="00832AD0"/>
    <w:rsid w:val="008457BE"/>
    <w:rsid w:val="00886B3A"/>
    <w:rsid w:val="008A07C2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2775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