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ОЦЕНОЧНЫЕ МАТЕРИАЛЫ ДЛЯ ПРОМЕЖУТОЧНОЙ АТТЕСТАЦИИ </w:t>
      </w:r>
    </w:p>
    <w:p w14:paraId="00000013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 w14:paraId="00000014">
      <w:pPr>
        <w:jc w:val="center"/>
        <w:rPr>
          <w:rFonts w:ascii="Times New Roman" w:cs="Times New Roman" w:eastAsia="Calibri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u w:val="single"/>
        </w:rPr>
        <w:t>Философская антропология, философия культуры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(наименование дисциплины)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eastAsia="Calibri" w:hAnsi="Times New Roman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>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2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Пояснительная записка. 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5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6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66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 w14:paraId="00000067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sz w:val="24"/>
          <w:szCs w:val="24"/>
        </w:rPr>
      </w:pPr>
    </w:p>
    <w:p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9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A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Экзамен (кандидатский экзамен)  -  6 семестр.</w:t>
      </w:r>
    </w:p>
    <w:p w14:paraId="0000006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6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теоретические подходы к анализу сущности человека и феноменов культуры, концептуальные основания философской антропологии и философии культуры, включая классические и современные парадигмы понимания человека и его бытия в мире, механизмы формирования и трансляции культурных ценностей и смыслов, процессы культурной идентификации, межкультурной коммуникации и динамики культурных форм.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ставить и проектировать философско-антропологические и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культурфилософские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исследования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осуществлять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операционализаци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философских категорий, разработк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концептуального аппарата,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выбир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исследовательск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стратегии, работа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с первоисточниками и критической литературой,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сбор и систематизаци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научно-философского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материала.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анализа и интерпретации текстов, культурных феноменов и антропологических практик (герменевтический анализ, феноменологическая редукция, компаративистский анализ, интерпретация культурных кодов и символических систем, дискурс-анализ), формулирования обоснованных выводов и представления результатов в виде научных публикаций и докладов.</w:t>
            </w:r>
          </w:p>
        </w:tc>
      </w:tr>
    </w:tbl>
    <w:p w14:paraId="0000007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7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Промежуточная аттестация (кандидатский экзамен) проводится в устной форме.</w:t>
      </w: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77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2.1. Типовые контрольные вопросы для экзамена</w:t>
      </w:r>
    </w:p>
    <w:p w14:paraId="00000078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</w:p>
    <w:p w14:paraId="0000007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Специальность «Философская антропология, философия культуры» носит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комплексный характер; ее содержание обусловлено соединением проблем из двух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областей философского знания. Это не исключает, а наоборот, предполагает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возможность соответствующей специализации. В то же время такое соединение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требует учета взаимосвязи философско-антропологического и философско-культурологического знания, нахождения и решения «стыковых» проблем,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способствует разработке и реализации междисциплинарных инновационных научных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программ.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Объектами изучения в специальности являются человек и культура в их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различных аспектах, что вызывает необходимость использования соответствующих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данных конкретных наук и философского осмысления этих данных.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</w:p>
    <w:p w14:paraId="0000007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Указанные выше особенности научной специальности «Философская антропология, философия культуры» оказывают влияние на структуру и содержание экзамена.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Процесс сдачи экзамена проходит в устной форме по заранее разработанным билетам. Соискатель учёной степени кандидата наук отвечает на три вопроса одного экзаменационного билета, который предлагается ему в начале экзамена на выбор из всех билетов, выносимых на экзамен.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</w:t>
      </w: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Первые два вопроса билета соответствуют паспорту научной специальности 5.7.8. Философская антропология, философия культуры (вопросы основной части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, где первый вопрос из философской антропологии, а второй из философии культуры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), третий вопрос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должен соответствовать проблематике научной деятельности аспиранта. 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Третий вопрос билета выбирается из дополнительной программы для кандидатского экзамена. Дополнительная программа формируется индивидуально из вопросов связанных с темой диссертации аспиранта, рассматривается и утверждается на кафедре.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Устный ответ осуществляется в виде самостоятельного изложения материала на основе письменных тезисов. 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После устного ответа члены экзаменационной комиссии вправе задать отвечающему уточняющие вопросы по ответам. При необходимости задаются дополнительные вопросы по различным темам специальной дисциплины.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Раздел 1. «Философская антропология</w:t>
      </w:r>
    </w:p>
    <w:p w14:paraId="00000082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Философская антропология в системе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научного и философского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знания.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Специфика философского подхода к человеку. </w:t>
      </w:r>
    </w:p>
    <w:p w14:paraId="00000083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Основные исторические парадиг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ы понимания человека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космоцентризм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теоцентризм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, антропоцентризм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рациоцентризм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</w:p>
    <w:p w14:paraId="00000084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Философская антропология как школа (М. Шелер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А. Гелен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Х. Плеснер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). </w:t>
      </w:r>
    </w:p>
    <w:p w14:paraId="00000085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Проблема происхождения человека (антропогенеза).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Философский анализ основных моделей: креационистской, эволюционистской (трудовая теория), игровой (Й.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Хёйзинга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), психоаналитической,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синергийной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. </w:t>
      </w:r>
    </w:p>
    <w:p w14:paraId="00000086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Эволюция философско-антропологической мысли в XX – начале XXI века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: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от «антропологического ренессанса» к «смерти человека». Современное состояние дискуссии.</w:t>
      </w:r>
    </w:p>
    <w:p w14:paraId="00000087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Специфика человеческого бытия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в контексте деятельности: труд, игра, творчество.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</w:p>
    <w:p w14:paraId="00000088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Фундаментальные характеристики и феномены человеческого бытия.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Понятие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экзистенциалов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. </w:t>
      </w:r>
    </w:p>
    <w:p w14:paraId="00000089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Свобода в 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етафизик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е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человеческого существования.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Свобода «от» и свобода «для». Свобода как основание ответственности и творчества. Экзистенциальное понимание свободы.</w:t>
      </w:r>
    </w:p>
    <w:p w14:paraId="0000008A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Метафизика человеческого существования: конечность и смысл.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Проблема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смысла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жизни, смерти и бессмертия в философии. </w:t>
      </w:r>
    </w:p>
    <w:p w14:paraId="0000008B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Проблема ценностей и смысла в структуре личности.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Аксиология личности.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овест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ь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и морально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е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сознани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е человека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</w:p>
    <w:p w14:paraId="0000008C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Феноменологический подход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в философской антропологии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</w:p>
    <w:p w14:paraId="0000008D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Герменевтическая антропология.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Понимание и интерпретация как фундаментальные способы человеческого бытия (М. Хайдеггер, Х.-Г. Гадамер). Человек как «понимающее» существо. Герменевтика внутреннего опыта (П.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Рикёр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).</w:t>
      </w:r>
    </w:p>
    <w:p w14:paraId="0000008E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Антропологический кризис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в истории человечества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: сущность и проявления.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</w:p>
    <w:p w14:paraId="0000008F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Т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рансгуманизм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и п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ерспективы человека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 П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остчеловек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преодоления биологической природы. Критика трансгуманизма с позиций классической и религиозной антропологии.</w:t>
      </w:r>
    </w:p>
    <w:p w14:paraId="00000090">
      <w:pPr>
        <w:widowControl w:val="o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роблема искусственного интеллекта и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постчеловеческого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будущего.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Влияние технологий и ИИ на идентичност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ь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, сознани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е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и субъектност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ь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онвергенци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я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человека и техники.</w:t>
      </w:r>
    </w:p>
    <w:p w14:paraId="0000009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 xml:space="preserve">Раздел 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2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. «Философ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ия культуры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»</w:t>
      </w:r>
    </w:p>
    <w:p w14:paraId="00000092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Философия культуры в системе научно-философского знания.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Предмет и метод философии культуры. Культура как «мир человека» и способ человеческого бытия. </w:t>
      </w:r>
    </w:p>
    <w:p w14:paraId="00000093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Основные методологические подходы к изучению культуры.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Сравнительный анализ феноменологического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герменевтического подходов к исследованию культурных феноменов.</w:t>
      </w:r>
    </w:p>
    <w:p w14:paraId="00000094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Основные методологические подходы к изучению культуры.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Сравнительный анализ структуралистского и постструктуралистского подходов к исследованию культурных феноменов.</w:t>
      </w:r>
    </w:p>
    <w:p w14:paraId="00000095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Основные направления философии культуры конца XX – начала XXI века.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Постмодернистская критика культуры. Концепции «конца истории» и «столкновения цивилизаций».</w:t>
      </w:r>
    </w:p>
    <w:p w14:paraId="00000096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Морфология культуры.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Компоненты и структура культурного пространства. Архитектоника культуры. Мифология, религия, искусство, наука, мораль как феномены культуры, их взаимодействие и взаимовлияние.</w:t>
      </w:r>
    </w:p>
    <w:p w14:paraId="00000097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Культурогенез и антропогенез.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Проблема происхождения культуры. Эволюция культурных форм. Традиции и инновации в истории культуры.</w:t>
      </w:r>
    </w:p>
    <w:p w14:paraId="00000098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«Познавательные повороты» в исследованиях культуры XX–XXI вв.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В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лияние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поворотов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на методологию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исследований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культуры.</w:t>
      </w:r>
    </w:p>
    <w:p w14:paraId="00000099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Культура и цивилизация: соотношение понятий.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Концепции и т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ипологи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культур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/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цивилизаций.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ниверсальное и локальное в культуре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</w:p>
    <w:p w14:paraId="0000009A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Природа и культура. Экология культуры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</w:p>
    <w:p w14:paraId="0000009B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Массовая, элитарная и народная культура.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Генезис и историческая динамика. Критерии различения и механизмы взаимодействия. </w:t>
      </w:r>
    </w:p>
    <w:p w14:paraId="0000009C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Онтология культуры. Культурные формы как категории культуры.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</w:p>
    <w:p w14:paraId="0000009D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Аксиология культуры: ценности и нормы в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культуре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Механизмы формирования, трансляции и смены ценностей. Соотношение ценностей и норм как регуляторов кул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ьтуры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</w:p>
    <w:p w14:paraId="0000009E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Цифровая культура и медиареальность.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Культура цифрового общества: основные характеристики и тренды. Виртуальное и реальное в современной культуре. </w:t>
      </w:r>
    </w:p>
    <w:p w14:paraId="0000009F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Семиотика культуры. Культура как язык и текст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(Э.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Кассирер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, Ю. Лотман).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Семиосфера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концептосфера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. </w:t>
      </w:r>
    </w:p>
    <w:p w14:paraId="000000A0">
      <w:pPr>
        <w:widowControl w:val="o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Культура и коммуникация. Диалог культур как проблема философии культуры. Культура и национальный характер. Межкультурные коммуникации в глобальном мире: конфликты и стратегии взаимопонимания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.</w:t>
      </w:r>
    </w:p>
    <w:p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A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A3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A4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000000A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</w:rPr>
        <w:t>Оценка степени подготовленности  соискателя ученой степени кандидата наук к проведению научных исследований  по конкретной научной специальности и отрасли науки определяется экзаменационными комиссиями по шкале: «отлично», «хорошо», «удовлетворительно», «неудовлетворительно».</w:t>
      </w:r>
    </w:p>
    <w:p w14:paraId="000000A6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</w:tabs>
        <w:spacing w:after="0" w:line="240" w:lineRule="auto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</w:rPr>
        <w:tab/>
        <w:t>При оценке степени подготовленности  соискателя ученой степени кандидата наук, определяется:</w:t>
      </w:r>
    </w:p>
    <w:p w14:paraId="000000A7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уровень освоения материала, предусмотренного программой кандидатского экзамена;</w:t>
      </w:r>
    </w:p>
    <w:p w14:paraId="000000A8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умение использовать теоретические знания при выполнении научно-исследовательских задач;</w:t>
      </w:r>
    </w:p>
    <w:p w14:paraId="000000A9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обоснованность, четкость, краткость изложения ответа.</w:t>
      </w:r>
    </w:p>
    <w:p w14:paraId="000000A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</w:rPr>
        <w:t>Общими критериями, определяющими оценку степени подготовленности  соискателя ученой степени кандидата наук, являются:</w:t>
      </w:r>
    </w:p>
    <w:p w14:paraId="000000AB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«отлично»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глубоких и исчерпывающих знаний в области исследования, правильные и уверенные действия по применению полученных знаний на практике, грамотное и логически стройное изложение материала при ответе;</w:t>
      </w:r>
    </w:p>
    <w:p w14:paraId="000000AC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твердых и достаточно полных знаний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 области исследования, незначительные ошибки при освещении заданных вопросов, правильные действия по применению знаний на практике, четкое изложение материала;</w:t>
      </w:r>
    </w:p>
    <w:p w14:paraId="000000AD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твердых знаний в области исследования, изложение ответов с ошибками, уверенно исправляемыми после дополнительных вопросов, необходимость наводящих вопросов, правильные действия по применению знаний на практике;</w:t>
      </w:r>
    </w:p>
    <w:p w14:paraId="000000AE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оценки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</w:rPr>
        <w:t>: наличие грубых ошибок в ответе, непонимание сущности излагаемого вопроса, неумение применять знания на практике, неуверенность и неточность ответов на дополнительные и наводящие вопросы.</w:t>
      </w:r>
    </w:p>
    <w:p w14:paraId="000000AF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B0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B1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Виды ошибок: </w:t>
      </w:r>
    </w:p>
    <w:p w14:paraId="000000B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B3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B4">
      <w:pPr>
        <w:widowControl w:val="off"/>
        <w:spacing w:after="0" w:line="240" w:lineRule="auto"/>
        <w:ind w:firstLine="567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8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2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7"/>
  </w:num>
  <w:num w:numId="5">
    <w:abstractNumId w:val="13"/>
  </w:num>
  <w:num w:numId="6">
    <w:abstractNumId w:val="12"/>
  </w:num>
  <w:num w:numId="7">
    <w:abstractNumId w:val="10"/>
  </w:num>
  <w:num w:numId="8">
    <w:abstractNumId w:val="14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1"/>
    <w:rsid w:val="00011F37"/>
    <w:rsid w:val="00016587"/>
    <w:rsid w:val="00054C7D"/>
    <w:rsid w:val="00057D7B"/>
    <w:rsid w:val="000A0BC7"/>
    <w:rsid w:val="000B25EC"/>
    <w:rsid w:val="000D39BB"/>
    <w:rsid w:val="001402C3"/>
    <w:rsid w:val="0017260F"/>
    <w:rsid w:val="00193C87"/>
    <w:rsid w:val="00193FE1"/>
    <w:rsid w:val="00195E6D"/>
    <w:rsid w:val="00205BC3"/>
    <w:rsid w:val="00236A66"/>
    <w:rsid w:val="00282BC5"/>
    <w:rsid w:val="002B2F73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51EA4"/>
    <w:rsid w:val="004957A5"/>
    <w:rsid w:val="00516F5A"/>
    <w:rsid w:val="00534A88"/>
    <w:rsid w:val="00540EBC"/>
    <w:rsid w:val="00557E38"/>
    <w:rsid w:val="0057321A"/>
    <w:rsid w:val="00587656"/>
    <w:rsid w:val="00591B93"/>
    <w:rsid w:val="005971F8"/>
    <w:rsid w:val="00597C6E"/>
    <w:rsid w:val="005B4E09"/>
    <w:rsid w:val="005B52A5"/>
    <w:rsid w:val="005E0E13"/>
    <w:rsid w:val="005E5340"/>
    <w:rsid w:val="00611C39"/>
    <w:rsid w:val="00621019"/>
    <w:rsid w:val="0062759B"/>
    <w:rsid w:val="006A0644"/>
    <w:rsid w:val="006B1DDC"/>
    <w:rsid w:val="0070021F"/>
    <w:rsid w:val="0070391E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8A7EBF"/>
    <w:rsid w:val="00913066"/>
    <w:rsid w:val="009575CC"/>
    <w:rsid w:val="009E5CB8"/>
    <w:rsid w:val="009F1F32"/>
    <w:rsid w:val="00A332D0"/>
    <w:rsid w:val="00A72B6A"/>
    <w:rsid w:val="00A737B5"/>
    <w:rsid w:val="00A825D8"/>
    <w:rsid w:val="00AA028D"/>
    <w:rsid w:val="00AA56B7"/>
    <w:rsid w:val="00AD2437"/>
    <w:rsid w:val="00B21D33"/>
    <w:rsid w:val="00B66836"/>
    <w:rsid w:val="00BF294E"/>
    <w:rsid w:val="00C4484E"/>
    <w:rsid w:val="00C774A7"/>
    <w:rsid w:val="00C83A24"/>
    <w:rsid w:val="00CB2DD8"/>
    <w:rsid w:val="00CE4BE8"/>
    <w:rsid w:val="00CE527F"/>
    <w:rsid w:val="00CF14C4"/>
    <w:rsid w:val="00CF1CC3"/>
    <w:rsid w:val="00D96A31"/>
    <w:rsid w:val="00E03053"/>
    <w:rsid w:val="00E058BE"/>
    <w:rsid w:val="00E14DD4"/>
    <w:rsid w:val="00E41646"/>
    <w:rsid w:val="00E616E1"/>
    <w:rsid w:val="00E80690"/>
    <w:rsid w:val="00E87813"/>
    <w:rsid w:val="00EE79A0"/>
    <w:rsid w:val="00F1197A"/>
    <w:rsid w:val="00F2315F"/>
    <w:rsid w:val="00F42FA4"/>
    <w:rsid w:val="00F64466"/>
    <w:rsid w:val="00F711A8"/>
    <w:rsid w:val="00F82620"/>
    <w:rsid w:val="00F87C80"/>
    <w:rsid w:val="00F95CA7"/>
    <w:rsid w:val="00FA286C"/>
    <w:rsid w:val="00FB01EF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D5D5"/>
  <w15:docId w15:val="{9CFBA473-39B9-4710-BAB0-837078AE88F3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