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tylesWithEffects.xml" ContentType="application/vnd.ms-word.stylesWithEffect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Интеллектуальная собственность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3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</w:t>
      </w:r>
      <w:r>
        <w:rPr>
          <w:rFonts w:ascii="Times New Roman" w:eastAsia="Times New Roman" w:hAnsi="Times New Roman"/>
          <w:sz w:val="24"/>
          <w:szCs w:val="24"/>
        </w:rPr>
        <w:t>планируемыми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виды и формы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</w:p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порядок защиты интеллектуальной собственности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методы исследования, применяемые в научно-исследовательской деятельности и средства для их реализации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проводить патентный поиск по отечественным и зарубежным ресурсам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анализировать методы исследования и выбирать наиболее подходящий для самостоятельной научно-исследовательской деятельности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оформлять заявки на получение патента РФ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1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отбора аналогов и прототипа по результатам патентного поиска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оценки соответствия результатов творческой,  интеллектуальной деятельности уровню объектов интеллектуальной собственности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, </w:t>
            </w:r>
          </w:p>
          <w:p w14:paraId="00000072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разработки новых методов исследования и способностью применить эти методы для самостоятельной научно-исследовательской деятельности</w:t>
            </w:r>
            <w:bookmarkEnd w:id="0"/>
          </w:p>
        </w:tc>
      </w:tr>
    </w:tbl>
    <w:p w14:paraId="000000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Промежуточная аттестация (зачет) проводится в форме </w:t>
      </w:r>
      <w:r>
        <w:rPr>
          <w:rFonts w:ascii="Times New Roman" w:eastAsia="Times New Roman" w:hAnsi="Times New Roman"/>
          <w:sz w:val="24"/>
          <w:szCs w:val="24"/>
        </w:rPr>
        <w:t>устного ответа на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вопросы билета. </w:t>
      </w:r>
    </w:p>
    <w:p w14:paraId="00000075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6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7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8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контрольные вопросы для зачета</w:t>
      </w:r>
    </w:p>
    <w:p w14:paraId="00000079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Виды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интеллектуальной собственности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Охрана объектов промышленной собственности в РФ </w:t>
      </w:r>
    </w:p>
    <w:p w14:paraId="0000007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Авторское право и смежные права </w:t>
      </w:r>
    </w:p>
    <w:p w14:paraId="0000007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Международные договоры в области интеллектуальной собственности </w:t>
      </w:r>
    </w:p>
    <w:p w14:paraId="0000007E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Международная система классификации объектов интеллектуальной собственности </w:t>
      </w:r>
    </w:p>
    <w:p w14:paraId="0000007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6.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Коммерциализация инте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ллектуальной собственности </w:t>
      </w:r>
    </w:p>
    <w:p w14:paraId="0000008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7.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Объекты интеллектуальной собс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твенности и формы их защиты </w:t>
      </w:r>
    </w:p>
    <w:p w14:paraId="0000008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8.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на изобретение </w:t>
      </w:r>
    </w:p>
    <w:p w14:paraId="0000008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9.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Порядок оформления заявок полезную модель </w:t>
      </w:r>
    </w:p>
    <w:p w14:paraId="0000008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10.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Структура описания к заявке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обретение</w:t>
      </w:r>
    </w:p>
    <w:p w14:paraId="0000008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11.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Структура описания к заявке на выдачу патента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на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полезную модель </w:t>
      </w:r>
    </w:p>
    <w:p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Патентный поиск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 теме диссертационной работы </w:t>
      </w:r>
    </w:p>
    <w:p w14:paraId="0000008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13. Порядок формирования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заявки на выдачу патента на изобретение и полезную модель </w:t>
      </w:r>
    </w:p>
    <w:p w14:paraId="00000087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Порядок формирования заявки на выдачу патента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на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полезную модель</w:t>
      </w:r>
    </w:p>
    <w:p w14:paraId="0000008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15.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Оформление заявки на выдачу патента на из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обретение и полезную модель </w:t>
      </w:r>
    </w:p>
    <w:p w14:paraId="0000008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A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C">
      <w:pPr>
        <w:spacing w:after="0" w:line="240" w:lineRule="auto"/>
        <w:rPr>
          <w:rFonts w:ascii="Calibri" w:cs="Times New Roman" w:eastAsia="Times New Roman" w:hAnsi="Calibri"/>
          <w:sz w:val="24"/>
          <w:szCs w:val="24"/>
          <w:lang w:eastAsia="en-US"/>
        </w:rPr>
      </w:pPr>
    </w:p>
    <w:p w14:paraId="0000008D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E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F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Критерии формирования оценок по зачету </w:t>
      </w:r>
    </w:p>
    <w:p w14:paraId="00000090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</w:t>
      </w:r>
      <w:r>
        <w:rPr>
          <w:rFonts w:ascii="Times New Roman" w:hAnsi="Times New Roman"/>
          <w:sz w:val="24"/>
          <w:szCs w:val="24"/>
        </w:rPr>
        <w:t>, допустил незначительные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логические и фактические ошибки.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0000091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92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3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94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5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6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7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8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9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A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E1"/>
    <w:rsid w:val="00011F37"/>
    <w:rsid w:val="00016587"/>
    <w:rsid w:val="00054C7D"/>
    <w:rsid w:val="00057D7B"/>
    <w:rsid w:val="00067369"/>
    <w:rsid w:val="000A0BC7"/>
    <w:rsid w:val="000D39BB"/>
    <w:rsid w:val="001402C3"/>
    <w:rsid w:val="001560BB"/>
    <w:rsid w:val="0017260F"/>
    <w:rsid w:val="00193C87"/>
    <w:rsid w:val="00193FE1"/>
    <w:rsid w:val="001F0518"/>
    <w:rsid w:val="00236A66"/>
    <w:rsid w:val="002826DA"/>
    <w:rsid w:val="00282BC5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26151"/>
    <w:rsid w:val="0049095A"/>
    <w:rsid w:val="004C593D"/>
    <w:rsid w:val="00534A88"/>
    <w:rsid w:val="00535333"/>
    <w:rsid w:val="00557E38"/>
    <w:rsid w:val="0057321A"/>
    <w:rsid w:val="00587656"/>
    <w:rsid w:val="00591B93"/>
    <w:rsid w:val="005971F8"/>
    <w:rsid w:val="005B4E09"/>
    <w:rsid w:val="005B52A5"/>
    <w:rsid w:val="005E0E13"/>
    <w:rsid w:val="005E2455"/>
    <w:rsid w:val="005E5340"/>
    <w:rsid w:val="00611C39"/>
    <w:rsid w:val="00621019"/>
    <w:rsid w:val="00693EC5"/>
    <w:rsid w:val="006B1DDC"/>
    <w:rsid w:val="006D12EC"/>
    <w:rsid w:val="0070021F"/>
    <w:rsid w:val="00715FC1"/>
    <w:rsid w:val="00721320"/>
    <w:rsid w:val="00734852"/>
    <w:rsid w:val="00757BD2"/>
    <w:rsid w:val="007918D1"/>
    <w:rsid w:val="007B4CC5"/>
    <w:rsid w:val="007D256F"/>
    <w:rsid w:val="007D76D4"/>
    <w:rsid w:val="007E6550"/>
    <w:rsid w:val="00830AE9"/>
    <w:rsid w:val="00832AD0"/>
    <w:rsid w:val="008457BE"/>
    <w:rsid w:val="00886B3A"/>
    <w:rsid w:val="008A07C2"/>
    <w:rsid w:val="008A3A1C"/>
    <w:rsid w:val="00913066"/>
    <w:rsid w:val="00924634"/>
    <w:rsid w:val="009575CC"/>
    <w:rsid w:val="0096723E"/>
    <w:rsid w:val="009E5CB8"/>
    <w:rsid w:val="009F1F32"/>
    <w:rsid w:val="00A332D0"/>
    <w:rsid w:val="00A72B6A"/>
    <w:rsid w:val="00AA028D"/>
    <w:rsid w:val="00AA56B7"/>
    <w:rsid w:val="00AD2437"/>
    <w:rsid w:val="00B112A1"/>
    <w:rsid w:val="00B21D33"/>
    <w:rsid w:val="00B439C6"/>
    <w:rsid w:val="00BF294E"/>
    <w:rsid w:val="00BF508B"/>
    <w:rsid w:val="00C4484E"/>
    <w:rsid w:val="00C774A7"/>
    <w:rsid w:val="00C83A24"/>
    <w:rsid w:val="00CB2DD8"/>
    <w:rsid w:val="00CE4BE8"/>
    <w:rsid w:val="00CE527F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C79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3" Type="http://schemas.microsoft.com/office/2007/relationships/stylesWithEffects" Target="stylesWithEffects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