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EC5DB" w14:textId="77777777" w:rsidR="00E64F81" w:rsidRDefault="00E64F81" w:rsidP="00E64F8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14:paraId="7B4937E6" w14:textId="77777777" w:rsidR="00E64F81" w:rsidRDefault="00E64F81" w:rsidP="00E64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Примеры тестовых заданий для итоговой аттестации:</w:t>
      </w:r>
    </w:p>
    <w:p w14:paraId="42F26E7C" w14:textId="77777777" w:rsidR="00E64F81" w:rsidRDefault="00E64F81" w:rsidP="00E64F8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Современные требования к системам автоблокировки</w:t>
      </w:r>
    </w:p>
    <w:p w14:paraId="698575AB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эксплуатируемых систем автоблокировки и технологии их обслуживания</w:t>
      </w:r>
    </w:p>
    <w:p w14:paraId="40000D2B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перегонных рельсовых цепей и систем автоблокировки</w:t>
      </w:r>
    </w:p>
    <w:p w14:paraId="5D06019D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рельсовых цепей тональной частоты</w:t>
      </w:r>
    </w:p>
    <w:p w14:paraId="4A78B974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и типы рельсовых цепей тональной частоты</w:t>
      </w:r>
    </w:p>
    <w:p w14:paraId="146F73AE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рельсовых цепей тональной частоты</w:t>
      </w:r>
    </w:p>
    <w:p w14:paraId="12B59A34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применения рельсовых цепей тональной частоты</w:t>
      </w:r>
    </w:p>
    <w:p w14:paraId="5BE97503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принципиальная схема путевого генератора ГП3 рельсовых цепей тональной частоты</w:t>
      </w:r>
      <w:r>
        <w:rPr>
          <w:rFonts w:ascii="Times New Roman" w:hAnsi="Times New Roman"/>
          <w:b/>
          <w:sz w:val="28"/>
          <w:szCs w:val="28"/>
        </w:rPr>
        <w:t xml:space="preserve"> (схема)</w:t>
      </w:r>
    </w:p>
    <w:p w14:paraId="263ACFCE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и характеристики путевого генератора ГП3 рельсовых цепей тональной частоты</w:t>
      </w:r>
      <w:r>
        <w:rPr>
          <w:rFonts w:ascii="Times New Roman" w:hAnsi="Times New Roman"/>
          <w:b/>
          <w:sz w:val="28"/>
          <w:szCs w:val="28"/>
        </w:rPr>
        <w:t xml:space="preserve"> (схема).</w:t>
      </w:r>
      <w:r>
        <w:rPr>
          <w:rFonts w:ascii="Times New Roman" w:hAnsi="Times New Roman"/>
          <w:sz w:val="28"/>
          <w:szCs w:val="28"/>
        </w:rPr>
        <w:t xml:space="preserve"> Особенности генераторов ГП31Ц и ГП3С</w:t>
      </w:r>
    </w:p>
    <w:p w14:paraId="3942D1E6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принципиальная схема путевого фильтра ФПМ</w:t>
      </w:r>
      <w:r>
        <w:rPr>
          <w:rFonts w:ascii="Times New Roman" w:hAnsi="Times New Roman"/>
          <w:b/>
          <w:sz w:val="28"/>
          <w:szCs w:val="28"/>
        </w:rPr>
        <w:t xml:space="preserve"> (схема)</w:t>
      </w:r>
    </w:p>
    <w:p w14:paraId="537B4A02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путевого фильтра ФПМ</w:t>
      </w:r>
      <w:r>
        <w:rPr>
          <w:rFonts w:ascii="Times New Roman" w:hAnsi="Times New Roman"/>
          <w:b/>
          <w:sz w:val="28"/>
          <w:szCs w:val="28"/>
        </w:rPr>
        <w:t xml:space="preserve"> (схема)</w:t>
      </w:r>
    </w:p>
    <w:p w14:paraId="3BD30651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и принципиальная схема путевого приемника ПП рельсовых цепей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тональной частоты</w:t>
      </w:r>
      <w:r>
        <w:rPr>
          <w:rFonts w:ascii="Times New Roman" w:hAnsi="Times New Roman"/>
          <w:b/>
          <w:sz w:val="28"/>
          <w:szCs w:val="28"/>
        </w:rPr>
        <w:t xml:space="preserve"> (схема)</w:t>
      </w:r>
      <w:r>
        <w:rPr>
          <w:rFonts w:ascii="Times New Roman" w:hAnsi="Times New Roman"/>
          <w:sz w:val="28"/>
          <w:szCs w:val="28"/>
        </w:rPr>
        <w:t>. Особенности приемников ПП1, ПП3, ПП3С.</w:t>
      </w:r>
    </w:p>
    <w:p w14:paraId="29A6383B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путевого приемника ПП рельсовых цепей тональной частоты</w:t>
      </w:r>
    </w:p>
    <w:p w14:paraId="68C7EB00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устройств согласования и защиты ТРЦ </w:t>
      </w:r>
      <w:r>
        <w:rPr>
          <w:rFonts w:ascii="Times New Roman" w:hAnsi="Times New Roman"/>
          <w:b/>
          <w:sz w:val="28"/>
          <w:szCs w:val="28"/>
        </w:rPr>
        <w:t>(схемы)</w:t>
      </w:r>
    </w:p>
    <w:p w14:paraId="588F4859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Разновидности систем АБ с ТРЦ, области применения, эффективность</w:t>
      </w:r>
    </w:p>
    <w:p w14:paraId="0BD76703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и структурная схема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6197880C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Достоинства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0D4B29C7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перегона рельсовыми цепями в системе АБТЦ. Выбор длин, чередование частот</w:t>
      </w:r>
    </w:p>
    <w:p w14:paraId="178E5C9C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оборудования и кабельная сеть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4B8391AE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рельсовых цепей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1178A538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контроля жил кабеля рельсовых цепей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5C670320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управления огнями проходных светофоров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76EFBBC9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исправности нитей ламп светофоров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66041410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жил кабеля светофоров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4582A85E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исправности огневого реле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4081EFF8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формирования и выбора кодовых сигналов АЛСН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53DFE46B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работа схем групповых кодововключающих реле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4F4AC937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Назначение и работа схемы индивидуальных кодововключающих реле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031635D9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подачи кодовых сигналов АЛС в рельсовые цепи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061C8AC5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работа схемы контроля последовательного занятия рельсовых цепей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10045F3E" w14:textId="77777777" w:rsidR="00E64F81" w:rsidRDefault="00E64F81" w:rsidP="00E64F81">
      <w:pPr>
        <w:widowControl w:val="0"/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работа схемы блокирующего реле системы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12C6966C" w14:textId="77777777" w:rsidR="00E64F81" w:rsidRDefault="00E64F81" w:rsidP="00E64F81">
      <w:pPr>
        <w:widowControl w:val="0"/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и работа схемы контроля последовательного освобождения рельсовых цепей в системе АБТЦ </w:t>
      </w:r>
      <w:r>
        <w:rPr>
          <w:rFonts w:ascii="Times New Roman" w:hAnsi="Times New Roman"/>
          <w:b/>
          <w:sz w:val="28"/>
          <w:szCs w:val="28"/>
        </w:rPr>
        <w:t>(схема)</w:t>
      </w:r>
    </w:p>
    <w:p w14:paraId="67856DB5" w14:textId="77777777" w:rsidR="00E64F81" w:rsidRDefault="00E64F81" w:rsidP="00E64F81">
      <w:pPr>
        <w:numPr>
          <w:ilvl w:val="0"/>
          <w:numId w:val="44"/>
        </w:numPr>
        <w:tabs>
          <w:tab w:val="num" w:pos="0"/>
          <w:tab w:val="left" w:pos="426"/>
          <w:tab w:val="left" w:pos="540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Увязка аппаратуры АБТЦ соседних станций</w:t>
      </w:r>
    </w:p>
    <w:p w14:paraId="0F7E2480" w14:textId="321CB6BA" w:rsidR="004A57FE" w:rsidRPr="006B4698" w:rsidRDefault="004A57FE" w:rsidP="006B4698">
      <w:bookmarkStart w:id="0" w:name="_GoBack"/>
      <w:bookmarkEnd w:id="0"/>
    </w:p>
    <w:sectPr w:rsidR="004A57FE" w:rsidRPr="006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22FAB"/>
    <w:multiLevelType w:val="hybridMultilevel"/>
    <w:tmpl w:val="C154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4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1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4F8611F5"/>
    <w:multiLevelType w:val="hybridMultilevel"/>
    <w:tmpl w:val="11E0385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41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42"/>
  </w:num>
  <w:num w:numId="2">
    <w:abstractNumId w:val="5"/>
  </w:num>
  <w:num w:numId="3">
    <w:abstractNumId w:val="18"/>
  </w:num>
  <w:num w:numId="4">
    <w:abstractNumId w:val="1"/>
  </w:num>
  <w:num w:numId="5">
    <w:abstractNumId w:val="14"/>
  </w:num>
  <w:num w:numId="6">
    <w:abstractNumId w:val="9"/>
  </w:num>
  <w:num w:numId="7">
    <w:abstractNumId w:val="35"/>
  </w:num>
  <w:num w:numId="8">
    <w:abstractNumId w:val="4"/>
  </w:num>
  <w:num w:numId="9">
    <w:abstractNumId w:val="15"/>
  </w:num>
  <w:num w:numId="10">
    <w:abstractNumId w:val="36"/>
  </w:num>
  <w:num w:numId="11">
    <w:abstractNumId w:val="17"/>
  </w:num>
  <w:num w:numId="12">
    <w:abstractNumId w:val="32"/>
  </w:num>
  <w:num w:numId="13">
    <w:abstractNumId w:val="31"/>
  </w:num>
  <w:num w:numId="14">
    <w:abstractNumId w:val="39"/>
  </w:num>
  <w:num w:numId="15">
    <w:abstractNumId w:val="3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4698"/>
    <w:rsid w:val="009E754C"/>
    <w:rsid w:val="00AC4B10"/>
    <w:rsid w:val="00C1613A"/>
    <w:rsid w:val="00DE2C54"/>
    <w:rsid w:val="00DF05F5"/>
    <w:rsid w:val="00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2025-02-26T18:34:00Z</dcterms:created>
  <dcterms:modified xsi:type="dcterms:W3CDTF">2025-12-10T18:34:00Z</dcterms:modified>
</cp:coreProperties>
</file>