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</w:rPr>
      </w:pPr>
      <w:r/>
      <w:r>
        <w:rPr>
          <w:noProof/>
        </w:rPr>
        <w:drawing>
          <wp:inline distT="0" distB="0" distL="0" distR="0">
            <wp:extent cx="82867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val="SMDATA_14_uye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AZBQAAGgQ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rFonts w:ascii="Times New Roman" w:hAnsi="Times New Roman" w:eastAsia="Times New Roman"/>
          <w:bCs/>
          <w:sz w:val="28"/>
          <w:szCs w:val="18"/>
        </w:rPr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  <w:lang w:val="ru-ru"/>
        </w:rPr>
      </w:pPr>
      <w:r>
        <w:rPr>
          <w:rFonts w:ascii="Times New Roman" w:hAnsi="Times New Roman" w:eastAsia="Times New Roman"/>
          <w:bCs/>
          <w:sz w:val="24"/>
          <w:szCs w:val="16"/>
          <w:lang w:val="ru-ru"/>
        </w:rPr>
        <w:t>МИНИСТЕРСТВО ТРАНСПОРТА РОССИЙСКОЙ ФЕДЕРАЦИИ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  <w:lang w:val="ru-ru"/>
        </w:rPr>
      </w:pPr>
      <w:r>
        <w:rPr>
          <w:rFonts w:ascii="Times New Roman" w:hAnsi="Times New Roman" w:eastAsia="Times New Roman"/>
          <w:bCs/>
          <w:sz w:val="24"/>
          <w:szCs w:val="16"/>
          <w:lang w:val="ru-ru"/>
        </w:rPr>
        <w:t>ФЕДЕРАЛЬНОЕ АГЕН</w:t>
      </w:r>
      <w:r>
        <w:rPr>
          <w:rFonts w:ascii="Times New Roman" w:hAnsi="Times New Roman" w:eastAsia="Times New Roman"/>
          <w:bCs/>
          <w:sz w:val="24"/>
          <w:szCs w:val="16"/>
        </w:rPr>
        <w:t>T</w:t>
      </w:r>
      <w:r>
        <w:rPr>
          <w:rFonts w:ascii="Times New Roman" w:hAnsi="Times New Roman" w:eastAsia="Times New Roman"/>
          <w:bCs/>
          <w:sz w:val="24"/>
          <w:szCs w:val="16"/>
          <w:lang w:val="ru-ru"/>
        </w:rPr>
        <w:t>СТВО ЖЕЛЕЗНОДОРОЖНОГО ТРАНСПОРТА</w:t>
      </w:r>
      <w:r>
        <w:rPr>
          <w:rFonts w:ascii="Times New Roman" w:hAnsi="Times New Roman" w:eastAsia="Times New Roman"/>
          <w:bCs/>
          <w:sz w:val="24"/>
          <w:szCs w:val="16"/>
          <w:lang w:val="ru-ru"/>
        </w:rPr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  <w:lang w:val="ru-ru"/>
        </w:rPr>
      </w:pPr>
      <w:r>
        <w:rPr>
          <w:rFonts w:ascii="Times New Roman" w:hAnsi="Times New Roman" w:eastAsia="Times New Roman"/>
          <w:bCs/>
          <w:sz w:val="18"/>
          <w:szCs w:val="10"/>
          <w:lang w:val="ru-ru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bCs/>
          <w:sz w:val="24"/>
          <w:szCs w:val="16"/>
          <w:lang w:val="ru-ru"/>
        </w:rPr>
      </w:r>
    </w:p>
    <w:p>
      <w:pPr>
        <w:spacing w:after="0"/>
        <w:jc w:val="center"/>
        <w:rPr>
          <w:rFonts w:ascii="Times New Roman" w:hAnsi="Times New Roman" w:eastAsia="Times New Roman"/>
          <w:b/>
          <w:sz w:val="24"/>
          <w:szCs w:val="16"/>
          <w:lang w:val="ru-ru"/>
        </w:rPr>
      </w:pPr>
      <w:r>
        <w:rPr>
          <w:rFonts w:ascii="Times New Roman" w:hAnsi="Times New Roman" w:eastAsia="Times New Roman"/>
          <w:b/>
          <w:sz w:val="24"/>
          <w:szCs w:val="16"/>
          <w:lang w:val="ru-ru"/>
        </w:rPr>
        <w:t>ПРИВОЛЖСКИЙ ГОСУДАРСТВЕННЫЙ УНИВЕРСИТЕТ ПУТЕЙ СООБЩЕНИЯ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  <w:lang w:val="ru-ru"/>
        </w:rPr>
      </w:pPr>
      <w:r>
        <w:rPr>
          <w:rFonts w:ascii="Times New Roman" w:hAnsi="Times New Roman" w:eastAsia="Times New Roman"/>
          <w:bCs/>
          <w:sz w:val="28"/>
          <w:szCs w:val="18"/>
          <w:lang w:val="ru-ru"/>
        </w:rPr>
        <w:t>(ПривГУПС)</w:t>
      </w:r>
    </w:p>
    <w:p>
      <w:pPr>
        <w:rPr>
          <w:lang w:val="ru-ru"/>
        </w:rPr>
      </w:pPr>
      <w:r/>
      <w:bookmarkStart w:id="0" w:name="_GoBack"/>
      <w:bookmarkEnd w:id="0"/>
      <w:r/>
      <w:r>
        <w:rPr>
          <w:lang w:val="ru-ru"/>
        </w:rPr>
      </w:r>
    </w:p>
    <w:tbl>
      <w:tblPr>
        <w:tblStyle w:val="NormalTable"/>
        <w:name w:val="Таблица1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426"/>
        <w:gridCol w:w="285"/>
        <w:gridCol w:w="1142"/>
        <w:gridCol w:w="607"/>
        <w:gridCol w:w="259"/>
        <w:gridCol w:w="143"/>
        <w:gridCol w:w="204"/>
        <w:gridCol w:w="607"/>
        <w:gridCol w:w="769"/>
        <w:gridCol w:w="20"/>
        <w:gridCol w:w="5744"/>
      </w:tblGrid>
      <w:tr>
        <w:trPr>
          <w:cantSplit w:val="0"/>
          <w:trHeight w:val="277" w:hRule="exact"/>
        </w:trPr>
        <w:tc>
          <w:tcPr>
            <w:tcW w:w="10206" w:type="dxa"/>
            <w:gridSpan w:val="11"/>
            <w:vMerge w:val="restart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11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/>
        </w:tc>
      </w:tr>
      <w:tr>
        <w:trPr>
          <w:cantSplit w:val="0"/>
          <w:trHeight w:val="1731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990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Философские проблемы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социально-гуманитарных наук</w:t>
            </w:r>
            <w:r>
              <w:rPr>
                <w:rFonts w:ascii="Times New Roman" w:hAnsi="Times New Roman"/>
                <w:sz w:val="40"/>
                <w:szCs w:val="40"/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rFonts w:ascii="Times New Roman" w:hAnsi="Times New Roman"/>
                <w:sz w:val="36"/>
                <w:szCs w:val="36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80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Научная специальность</w:t>
            </w:r>
            <w:r>
              <w:rPr>
                <w:rFonts w:ascii="Times New Roman" w:hAnsi="Times New Roman"/>
                <w:color w:val="000000"/>
                <w:sz w:val="24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3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43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Квалификация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34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34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9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2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ЗЕТ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016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Виды контроля  в семестрах: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31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зачеты 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4442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727" w:hRule="exact"/>
        </w:trPr>
        <w:tc>
          <w:tcPr>
            <w:tcW w:w="185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Семестр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213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(1.1)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76" w:type="dxa"/>
            <w:gridSpan w:val="2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213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76" w:type="dxa"/>
            <w:gridSpan w:val="2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/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Конт. ч. на аттест.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зачёту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-34" w:type="dxa"/>
        <w:tblW w:w="10274" w:type="dxa"/>
        <w:tblLook w:val="04A0" w:firstRow="1" w:lastRow="0" w:firstColumn="1" w:lastColumn="0" w:noHBand="0" w:noVBand="1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cantSplit w:val="0"/>
          <w:trHeight w:val="416" w:hRule="exact"/>
        </w:trPr>
        <w:tc>
          <w:tcPr>
            <w:tcW w:w="106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21" w:type="dxa"/>
            <w:gridSpan w:val="3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доктор философских наук, заведующая кафедрой философии и истории науки, С.В. Соловьева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944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Философские проблемы социально-гуманитарных наук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360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972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Философия и история науки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694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Зав. кафедрой доктор философских наук, доцент, С.В. Соловьева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</w:tbl>
    <w:tbl>
      <w:tblPr>
        <w:tblStyle w:val="NormalTable"/>
        <w:name w:val="Таблица3"/>
        <w:tabOrder w:val="0"/>
        <w:jc w:val="left"/>
        <w:tblInd w:w="0" w:type="dxa"/>
        <w:tblW w:w="10186" w:type="dxa"/>
        <w:tblLook w:val="04A0" w:firstRow="1" w:lastRow="0" w:firstColumn="1" w:lastColumn="0" w:noHBand="0" w:noVBand="1"/>
      </w:tblPr>
      <w:tblGrid>
        <w:gridCol w:w="656"/>
        <w:gridCol w:w="56"/>
        <w:gridCol w:w="1"/>
        <w:gridCol w:w="55"/>
        <w:gridCol w:w="1490"/>
        <w:gridCol w:w="46"/>
        <w:gridCol w:w="111"/>
        <w:gridCol w:w="3719"/>
        <w:gridCol w:w="128"/>
        <w:gridCol w:w="1"/>
        <w:gridCol w:w="993"/>
        <w:gridCol w:w="169"/>
        <w:gridCol w:w="1"/>
        <w:gridCol w:w="786"/>
        <w:gridCol w:w="1974"/>
      </w:tblGrid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116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«Философские проблемы социально-гуманитарных наук» предназначена для изучения обучающимися по педагогическому направлению подготовки аспирантуры; целью её освоения является теоретическая и практическая подготовка аспиранта к сдаче кандидатского минимума по истории и философии науки в части третьего раздела программы кандидатского экзамена – «Философские проблемы отрасли науки».</w:t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направлена на получение знаний в области современной философии техники и технических наук.</w:t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92" w:hRule="exact"/>
        </w:trPr>
        <w:tc>
          <w:tcPr>
            <w:tcW w:w="2415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771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2.1.5.2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nil" w:sz="0" w:space="0" w:color="000000" tmln="20, 20, 20, 0, 0"/>
              <w:bottom w:val="nil" w:sz="0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методологические и теоретические основы социально-гуманитарных наук;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философские основания профессионального мировоззрения;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специфику социально-гуманитарного знания и его роль в цивилизациях разного типа.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искать, классифицировать и анализировать научную информацию в социально-гуманитарном познании;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40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критически и системно анализировать проблемную профессиональную ситуацию и аргументированно различать способы её решение;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определять цели, задачи, методы исследовательской деятельности в профессиональной сфере;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системной, критической, герменевтической методологии;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9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аргументации собственного решения научно-исследовательской проблемы на основе  системной, критической, герменевтической методологии.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7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1. Философские проблемы социально-гуманитарного познания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521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Наука как предмет философского исследования. Три аспекта бытия науки /Лек/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75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Развитие социально-гуманитарного знания в рамках философии. /Лек/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Становление и развитие дисциплинарного социально-гуманитарного знания. /Лек/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00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1.4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Проблема общества и человека в истории философии /Пр/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554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1.5</w:t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Место и роль социально-гуманитратных науки в цивилизациях разного типа. /Пр/</w:t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485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1.6</w:t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Социальные и гуманитарные науки. Основные исследовательские программы в изучении социальной реальности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2. Философские проблемы социально-гуманитарных наук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452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Специфика социокультурного мира как объекта социально-гуманитарного знания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/Лек/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362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Субъект познания в социально-гуманитарных науках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. /Лек/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312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Методология социального познания. /Лек/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2.4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Объяснение и понимание. Герменевтика – наука о понимании и интерпретации текста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/Пр/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64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2.5</w:t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Проблема истинности в социально-гуманитарных науках. /Пр/</w:t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3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2.6</w:t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Образование и культура. Университет и Просвещение. /Пр/</w:t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30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Самостоятельная работа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335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зачёту /Ср/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22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8,75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341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лекциям /Ср/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2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34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семинарам /Ср/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2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4. Контактные часы на аттестацию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12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68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36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Зачёт /КА/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2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7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570" w:hRule="exact"/>
        </w:trPr>
        <w:tc>
          <w:tcPr>
            <w:tcW w:w="712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9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95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6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76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712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59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Яскевич, Я.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395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Яскевич, Я.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Философия и методология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науки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учебник для вузов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/ Я.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Яскевич.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2-е изд.,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испр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. и доп.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Москва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Издательство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536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ISBN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978-5-534-09651-4. — Текст : электронный // Образовательная платформа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[сайт].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116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Издательство Юрайт,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276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8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/456524</w:t>
              </w:r>
            </w:hyperlink>
          </w:p>
        </w:tc>
      </w:tr>
      <w:tr>
        <w:trPr>
          <w:cantSplit w:val="0"/>
          <w:trHeight w:val="2083" w:hRule="exact"/>
        </w:trPr>
        <w:tc>
          <w:tcPr>
            <w:tcW w:w="712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Л1.2</w:t>
            </w:r>
          </w:p>
        </w:tc>
        <w:tc>
          <w:tcPr>
            <w:tcW w:w="159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Ушаков, Е.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395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Ушаков, Е.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Философия и методология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науки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учебник и практикум для вузов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/ Е.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Ушаков.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Москва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Издательство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392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ISBN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978-5-534-02637-5. 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Текст 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электронный // Образовательная платформа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[сайт]. 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9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/450517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116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Издательство Юрайт,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276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9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/450517</w:t>
              </w:r>
            </w:hyperlink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65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0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005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6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76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65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60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Путилова, Л.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4005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Путилова, Л.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Философия и история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образования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учебник для вузов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/ Л.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Путилова, М.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Бубнова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Москва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Издательство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234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ISBN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978-5-534-03559-9. 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Текст 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электронный // Образовательная платформа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[сайт]. 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10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/451502</w:t>
              </w:r>
            </w:hyperlink>
          </w:p>
        </w:tc>
        <w:tc>
          <w:tcPr>
            <w:tcW w:w="116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Издательство Юрайт,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276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10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/451502</w:t>
              </w:r>
            </w:hyperlink>
          </w:p>
        </w:tc>
      </w:tr>
      <w:tr>
        <w:trPr>
          <w:cantSplit w:val="0"/>
          <w:trHeight w:val="2083" w:hRule="exact"/>
        </w:trPr>
        <w:tc>
          <w:tcPr>
            <w:tcW w:w="65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Л2.2</w:t>
            </w:r>
          </w:p>
        </w:tc>
        <w:tc>
          <w:tcPr>
            <w:tcW w:w="160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Гуревич, П.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4005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Гуревич, П.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Философская антропология в 2 т. Том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учебник для вузов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/ П.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Гуревич.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3-е изд.,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испр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. и доп.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Москва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Издательство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310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ISBN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978-5-534-08951-6. 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Текст 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электронный // Образовательная платформа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Юрайт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 xml:space="preserve"> [сайт]. —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11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/452721</w:t>
              </w:r>
            </w:hyperlink>
          </w:p>
        </w:tc>
        <w:tc>
          <w:tcPr>
            <w:tcW w:w="116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Издательство Юрайт, 2020.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276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</w:t>
            </w:r>
            <w:hyperlink r:id="rId11" w:history="1"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19"/>
                  <w:szCs w:val="19"/>
                  <w:shd w:val="clear" w:fill="ffffff"/>
                  <w:lang w:val="ru-ru"/>
                </w:rPr>
                <w:t>/452721</w:t>
              </w:r>
            </w:hyperlink>
          </w:p>
        </w:tc>
      </w:tr>
      <w:tr>
        <w:trPr>
          <w:cantSplit w:val="0"/>
          <w:trHeight w:val="555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2016 Договор №034210000481700004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7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База данных Института философии РАН: Философские ресурсы: Текстовые ресурсы: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iphras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page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52248384.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Стэнфордская философская энциклопедия: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science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uva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nl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/~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seop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contents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html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Интернет-энциклопедия философии: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utm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research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iep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Oxford companion to philosophy: http://www.xrefer.com/entry.jsp?volid=48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Гарант</w:t>
            </w:r>
          </w:p>
        </w:tc>
      </w:tr>
      <w:tr>
        <w:trPr>
          <w:cantSplit w:val="0"/>
          <w:trHeight w:val="287" w:hRule="exact"/>
        </w:trPr>
        <w:tc>
          <w:tcPr>
            <w:tcW w:w="71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473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Консультант плюс</w:t>
            </w:r>
          </w:p>
        </w:tc>
      </w:tr>
    </w:tbl>
    <w:tbl>
      <w:tblPr>
        <w:name w:val="Таблица4"/>
        <w:tabOrder w:val="0"/>
        <w:jc w:val="left"/>
        <w:tblInd w:w="0" w:type="dxa"/>
        <w:tblW w:w="10274" w:type="dxa"/>
      </w:tblPr>
      <w:tblGrid>
        <w:gridCol w:w="758"/>
        <w:gridCol w:w="9516"/>
      </w:tblGrid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2"/>
            <w:shd w:val="solid" w:color="D3D3D3" tmshd="1677721856, 0, 13882323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center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ru-ru" w:eastAsia="zh-cn"/>
              </w:rPr>
            </w:pPr>
            <w:r>
              <w:rPr>
                <w:rFonts w:ascii="Times New Roman" w:hAnsi="Times New Roman"/>
                <w:b/>
                <w:color w:val="000000"/>
                <w:kern w:val="1"/>
                <w:sz w:val="19"/>
                <w:szCs w:val="19"/>
                <w:lang w:val="ru-ru" w:eastAsia="zh-cn"/>
              </w:rPr>
              <w:t>7. МАТЕРИАЛЬНО-ТЕХНИЧЕСКОЕ ОБЕСПЕЧЕНИЕ ДИСЦИПЛИНЫ (МОДУЛЯ)</w:t>
            </w:r>
            <w:r>
              <w:rPr>
                <w:kern w:val="1"/>
                <w:sz w:val="19"/>
                <w:szCs w:val="19"/>
                <w:lang w:val="ru-ru" w:eastAsia="zh-cn"/>
              </w:rPr>
            </w:r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kern w:val="1"/>
                <w:sz w:val="19"/>
                <w:szCs w:val="19"/>
                <w:lang w:eastAsia="zh-cn"/>
              </w:rPr>
            </w:r>
          </w:p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eastAsia="zh-cn"/>
              </w:rPr>
              <w:t>7.1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  <w:tc>
          <w:tcPr>
            <w:tcW w:w="9516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907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9311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-стол ученический - 15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стул - 30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>- стул преподавателя – 1 шт.,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>- мультимедийный проектор – 1 шт.</w:t>
            </w:r>
            <w:r>
              <w:rPr>
                <w:kern w:val="1"/>
                <w:sz w:val="19"/>
                <w:szCs w:val="19"/>
                <w:lang w:val="ru-ru" w:eastAsia="zh-cn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907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eastAsia="zh-cn"/>
              </w:rPr>
              <w:t>7.2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  <w:tc>
          <w:tcPr>
            <w:tcW w:w="9516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907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9322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>- доска учебная – 1 шт.;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стол ученический - 12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стул - 24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ru-ru"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kern w:val="1"/>
                <w:sz w:val="19"/>
                <w:szCs w:val="19"/>
                <w:lang w:val="ru-ru" w:eastAsia="zh-cn"/>
              </w:rPr>
            </w:r>
          </w:p>
        </w:tc>
      </w:tr>
    </w:tbl>
    <w:p>
      <w:pPr>
        <w:spacing w:after="0" w:line="240" w:lineRule="auto"/>
        <w:widowControl w:val="0"/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/>
          <w:kern w:val="1"/>
          <w:sz w:val="20"/>
          <w:szCs w:val="20"/>
          <w:lang w:val="ru-ru" w:eastAsia="zh-cn" w:bidi="ru-ru"/>
        </w:rPr>
      </w:pPr>
      <w:r>
        <w:rPr>
          <w:rFonts w:ascii="Times New Roman" w:hAnsi="Times New Roman" w:eastAsia="SimSun"/>
          <w:kern w:val="1"/>
          <w:sz w:val="20"/>
          <w:szCs w:val="20"/>
          <w:lang w:val="ru-ru" w:eastAsia="zh-cn" w:bidi="ru-ru"/>
        </w:rPr>
      </w:r>
    </w:p>
    <w:p>
      <w:pPr>
        <w:rPr>
          <w:lang w:val="ru-ru"/>
        </w:rPr>
      </w:pPr>
      <w:r>
        <w:rPr>
          <w:lang w:val="ru-ru"/>
        </w:rPr>
      </w:r>
    </w:p>
    <w:p>
      <w:pPr>
        <w:pageBreakBefore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7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4"/>
    <w:tmLastPosSelect w:val="0"/>
    <w:tmLastPosFrameIdx w:val="0"/>
    <w:tmLastPosCaret>
      <w:tmLastPosPgfIdx w:val="12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46907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s://urait.ru/bcode/456524" TargetMode="External"/><Relationship Id="rId9" Type="http://schemas.openxmlformats.org/officeDocument/2006/relationships/hyperlink" Target="https://urait.ru/bcode/450517" TargetMode="External"/><Relationship Id="rId10" Type="http://schemas.openxmlformats.org/officeDocument/2006/relationships/hyperlink" Target="https://urait.ru/bcode/451502" TargetMode="External"/><Relationship Id="rId11" Type="http://schemas.openxmlformats.org/officeDocument/2006/relationships/hyperlink" Target="https://urait.ru/bcode/4527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37</cp:revision>
  <cp:lastPrinted>2024-12-10T08:27:00Z</cp:lastPrinted>
  <dcterms:created xsi:type="dcterms:W3CDTF">2022-08-31T08:55:00Z</dcterms:created>
  <dcterms:modified xsi:type="dcterms:W3CDTF">2026-10-01T09:28:27Z</dcterms:modified>
</cp:coreProperties>
</file>