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body>
    <w:p w14:paraId="00000005">
      <w:pPr>
        <w:widowControl w:val="off"/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06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МИНИСТЕРСТВО ТРАНСПОРТА РОССИЙСКОЙ ФЕДЕРАЦИИ</w:t>
      </w:r>
    </w:p>
    <w:p w14:paraId="00000007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ФЕДЕРАЛЬНОЕ АГЕНТСТВО ЖЕЛЕЗНОДОРОЖНОГО ТРАНСПОРТА</w:t>
      </w:r>
    </w:p>
    <w:p w14:paraId="00000008">
      <w:pPr>
        <w:widowControl w:val="off"/>
        <w:spacing w:after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18"/>
          <w:szCs w:val="18"/>
        </w:rPr>
        <w:t>ФЕДЕРАЛЬНОЕ ГОСУДАРСТВЕННОЕ БЮДЖЕТНОЕ ОБРАЗОВАТЕЛЬНОЕ УЧРЕЖДЕНИЕ ВЫСШЕГО ОБРАЗОВАНИЯ</w:t>
      </w:r>
    </w:p>
    <w:p w14:paraId="00000009">
      <w:pPr>
        <w:widowControl w:val="off"/>
        <w:spacing w:after="0"/>
        <w:jc w:val="center"/>
        <w:rPr>
          <w:rFonts w:ascii="Times New Roman" w:cs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bCs/>
          <w:sz w:val="24"/>
          <w:szCs w:val="24"/>
        </w:rPr>
        <w:t>ПРИВОЛЖСКИЙ ГОСУДАРСТВЕННЫЙ УНИВЕРСИТЕТ ПУТЕЙ СООБЩЕНИЯ</w:t>
      </w:r>
    </w:p>
    <w:p w14:paraId="0000000A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>
        <w:rPr>
          <w:rFonts w:ascii="Times New Roman" w:cs="Times New Roman" w:eastAsia="Times New Roman" w:hAnsi="Times New Roman"/>
          <w:sz w:val="28"/>
          <w:szCs w:val="28"/>
        </w:rPr>
        <w:t>(ПривГУПС)</w:t>
      </w:r>
    </w:p>
    <w:p w14:paraId="0000000B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</w:p>
    <w:p w14:paraId="0000000C">
      <w:pPr>
        <w:spacing w:after="0" w:line="240" w:lineRule="auto"/>
        <w:ind w:left="4859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Приложение </w:t>
      </w:r>
    </w:p>
    <w:p w14:paraId="0000000D">
      <w:pPr>
        <w:spacing w:after="0" w:line="240" w:lineRule="auto"/>
        <w:ind w:left="10" w:right="-20" w:hanging="10"/>
        <w:jc w:val="right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к рабочей программе дисциплины </w:t>
      </w:r>
    </w:p>
    <w:p w14:paraId="0000000E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0F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0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1">
      <w:pPr>
        <w:spacing w:after="0" w:line="240" w:lineRule="auto"/>
        <w:ind w:right="-20"/>
        <w:rPr>
          <w:rFonts w:ascii="Times New Roman" w:cs="Times New Roman" w:hAnsi="Times New Roman"/>
          <w:sz w:val="24"/>
          <w:szCs w:val="24"/>
        </w:rPr>
      </w:pPr>
    </w:p>
    <w:p w14:paraId="00000012">
      <w:pPr>
        <w:tabs>
          <w:tab w:val="left" w:pos="284"/>
        </w:tabs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  <w:r>
        <w:rPr>
          <w:rFonts w:ascii="Times New Roman" w:cs="Times New Roman" w:eastAsia="Times New Roman" w:hAnsi="Times New Roman"/>
          <w:b/>
          <w:sz w:val="28"/>
          <w:szCs w:val="28"/>
        </w:rPr>
        <w:t>ОЦЕНОЧНЫЕ МАТЕРИАЛЫ ДЛЯ ПРОМЕЖУТОЧНОЙ АТТЕСТАЦИИ</w:t>
      </w:r>
    </w:p>
    <w:p w14:paraId="00000013">
      <w:pPr>
        <w:tabs>
          <w:tab w:val="left" w:pos="284"/>
        </w:tabs>
        <w:jc w:val="center"/>
        <w:rPr>
          <w:rFonts w:ascii="Calibri" w:cs="Times New Roman" w:eastAsia="Times New Roman" w:hAnsi="Calibri"/>
          <w:b/>
          <w:sz w:val="28"/>
          <w:szCs w:val="28"/>
        </w:rPr>
      </w:pPr>
    </w:p>
    <w:p w14:paraId="00000014">
      <w:pPr>
        <w:jc w:val="center"/>
        <w:rPr>
          <w:rFonts w:ascii="Times New Roman" w:cs="Times New Roman" w:eastAsia="Times New Roman" w:hAnsi="Times New Roman"/>
          <w:b/>
          <w:sz w:val="28"/>
          <w:szCs w:val="24"/>
          <w:u w:val="single"/>
        </w:rPr>
      </w:pPr>
      <w:r>
        <w:rPr>
          <w:rFonts w:ascii="Times New Roman" w:cs="Times New Roman" w:eastAsia="Times New Roman" w:hAnsi="Times New Roman"/>
          <w:b/>
          <w:sz w:val="28"/>
          <w:szCs w:val="24"/>
          <w:u w:val="single"/>
        </w:rPr>
        <w:t>Педагогическая практика</w:t>
      </w:r>
    </w:p>
    <w:p w14:paraId="00000015">
      <w:pPr>
        <w:jc w:val="center"/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</w:pP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 xml:space="preserve">(наименование 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>дисциплины</w:t>
      </w:r>
      <w:r>
        <w:rPr>
          <w:rFonts w:ascii="Times New Roman" w:cs="Times New Roman" w:eastAsia="Times New Roman" w:hAnsi="Times New Roman"/>
          <w:bCs/>
          <w:i/>
          <w:iCs/>
          <w:sz w:val="20"/>
          <w:szCs w:val="20"/>
        </w:rPr>
        <w:t>)</w:t>
      </w:r>
    </w:p>
    <w:p w14:paraId="00000016">
      <w:pPr>
        <w:jc w:val="center"/>
        <w:rPr>
          <w:rFonts w:ascii="Times New Roman" w:cs="Times New Roman" w:eastAsia="Times New Roman" w:hAnsi="Times New Roman"/>
          <w:b/>
          <w:sz w:val="28"/>
          <w:szCs w:val="28"/>
        </w:rPr>
      </w:pPr>
    </w:p>
    <w:p w14:paraId="00000017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>Научная специальность</w:t>
      </w:r>
    </w:p>
    <w:p w14:paraId="00000018">
      <w:pPr>
        <w:jc w:val="center"/>
        <w:rPr>
          <w:rFonts w:ascii="Times New Roman" w:cs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cs="Times New Roman" w:hAnsi="Times New Roman"/>
          <w:b/>
          <w:bCs/>
          <w:sz w:val="28"/>
          <w:szCs w:val="28"/>
          <w:u w:val="single"/>
        </w:rPr>
        <w:t xml:space="preserve"> 5.7.8. Философская антропология, философия культуры</w:t>
      </w:r>
    </w:p>
    <w:p w14:paraId="00000019">
      <w:pPr>
        <w:jc w:val="center"/>
        <w:rPr>
          <w:rFonts w:ascii="Times New Roman" w:cs="Times New Roman" w:eastAsia="Times New Roman" w:hAnsi="Times New Roman"/>
          <w:i/>
          <w:iCs/>
          <w:sz w:val="18"/>
          <w:szCs w:val="28"/>
        </w:rPr>
      </w:pPr>
      <w:r>
        <w:rPr>
          <w:rFonts w:ascii="Times New Roman" w:cs="Times New Roman" w:eastAsia="Times New Roman" w:hAnsi="Times New Roman"/>
          <w:i/>
          <w:iCs/>
          <w:sz w:val="20"/>
          <w:szCs w:val="28"/>
        </w:rPr>
        <w:t>(код и наименование)</w:t>
      </w:r>
    </w:p>
    <w:p w14:paraId="0000001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1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0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1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2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3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4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5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6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7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8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9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A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B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C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D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E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2F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0">
      <w:pPr>
        <w:spacing w:after="0" w:line="240" w:lineRule="auto"/>
        <w:jc w:val="center"/>
        <w:rPr>
          <w:rFonts w:ascii="Times New Roman" w:cs="Times New Roman" w:hAnsi="Times New Roman"/>
          <w:b/>
          <w:sz w:val="24"/>
          <w:szCs w:val="24"/>
        </w:rPr>
      </w:pPr>
    </w:p>
    <w:p w14:paraId="00000031">
      <w:p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Содержание</w:t>
      </w:r>
    </w:p>
    <w:p w14:paraId="00000032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Пояснительная записка. </w:t>
      </w:r>
    </w:p>
    <w:p w14:paraId="00000033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Типовые контрольные задания или иные материалы для оценки знаний, умений, навыков и (или) опыта деятельности при проведении промежуточной аттестации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.</w:t>
      </w:r>
    </w:p>
    <w:p w14:paraId="00000034">
      <w:pPr>
        <w:numPr>
          <w:ilvl w:val="0"/>
          <w:numId w:val="9"/>
        </w:numPr>
        <w:spacing w:after="0" w:line="240" w:lineRule="auto"/>
        <w:contextualSpacing w:val="on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Методические материалы, определяющие процедуру и критерии оценивания при проведении промежуточной аттестации</w:t>
      </w:r>
    </w:p>
    <w:p w14:paraId="00000035">
      <w:pPr>
        <w:spacing w:after="0" w:line="240" w:lineRule="auto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3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3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4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5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6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7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8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9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A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B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C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D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E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5F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0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1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2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3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4">
      <w:pPr>
        <w:spacing w:after="0" w:line="240" w:lineRule="auto"/>
        <w:ind w:left="284" w:firstLine="284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</w:p>
    <w:p w14:paraId="00000065">
      <w:pPr>
        <w:pStyle w:val="ListParagraph"/>
        <w:numPr>
          <w:ilvl w:val="0"/>
          <w:numId w:val="10"/>
        </w:numPr>
        <w:spacing w:after="0" w:line="240" w:lineRule="auto"/>
        <w:jc w:val="center"/>
        <w:rPr>
          <w:rFonts w:ascii="Times New Roman" w:cs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cs="Times New Roman" w:hAnsi="Times New Roman"/>
          <w:b/>
          <w:color w:val="000000" w:themeColor="text1"/>
          <w:sz w:val="24"/>
          <w:szCs w:val="24"/>
        </w:rPr>
        <w:t>Пояснительная записка</w:t>
      </w:r>
    </w:p>
    <w:p w14:paraId="00000066">
      <w:pPr>
        <w:pStyle w:val="ListParagraph"/>
        <w:spacing w:after="0" w:line="240" w:lineRule="auto"/>
        <w:ind w:left="928"/>
        <w:rPr>
          <w:rFonts w:ascii="Times New Roman" w:cs="Times New Roman" w:hAnsi="Times New Roman"/>
          <w:b/>
          <w:color w:val="000000"/>
          <w:sz w:val="24"/>
          <w:szCs w:val="24"/>
        </w:rPr>
      </w:pPr>
    </w:p>
    <w:p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tab/>
        <w:t xml:space="preserve">Цель промежуточной аттестации – оценивание промежуточных и окончательных результатов обучения </w:t>
      </w:r>
      <w:r>
        <w:rPr>
          <w:rFonts w:ascii="Times New Roman" w:cs="Times New Roman" w:eastAsia="Times New Roman" w:hAnsi="Times New Roman"/>
          <w:sz w:val="24"/>
          <w:szCs w:val="24"/>
        </w:rPr>
        <w:t>дисциплине</w:t>
      </w:r>
      <w:r>
        <w:rPr>
          <w:rFonts w:ascii="Times New Roman" w:cs="Times New Roman" w:eastAsia="Times New Roman" w:hAnsi="Times New Roman"/>
          <w:sz w:val="24"/>
          <w:szCs w:val="24"/>
        </w:rPr>
        <w:t>, обеспечивающих достижение планируемых результатов освоения образовательной программы.</w:t>
      </w:r>
    </w:p>
    <w:p w14:paraId="00000068">
      <w:pPr>
        <w:spacing w:after="0" w:line="238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Формы промежуточной аттестации: </w:t>
      </w:r>
    </w:p>
    <w:p w14:paraId="00000069">
      <w:pPr>
        <w:spacing w:after="0" w:line="238" w:lineRule="auto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>З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ачет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с оценкой 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cs="Times New Roman" w:hAnsi="Times New Roman"/>
          <w:color w:val="000000"/>
          <w:sz w:val="24"/>
          <w:szCs w:val="24"/>
        </w:rPr>
        <w:t>5</w:t>
      </w:r>
      <w:r>
        <w:rPr>
          <w:rFonts w:ascii="Times New Roman" w:cs="Times New Roman" w:hAnsi="Times New Roman"/>
          <w:color w:val="000000"/>
          <w:sz w:val="24"/>
          <w:szCs w:val="24"/>
        </w:rPr>
        <w:t xml:space="preserve"> семестр</w:t>
      </w:r>
      <w:r>
        <w:rPr>
          <w:rFonts w:ascii="Times New Roman" w:cs="Times New Roman" w:hAnsi="Times New Roman"/>
          <w:color w:val="000000"/>
          <w:sz w:val="24"/>
          <w:szCs w:val="24"/>
        </w:rPr>
        <w:t>.</w:t>
      </w:r>
    </w:p>
    <w:p w14:paraId="0000006A">
      <w:pPr>
        <w:spacing w:after="0" w:line="240" w:lineRule="auto"/>
        <w:ind w:firstLine="708"/>
        <w:jc w:val="both"/>
        <w:rPr>
          <w:rFonts w:ascii="Times New Roman" w:cs="Times New Roman" w:eastAsia="Times New Roman" w:hAnsi="Times New Roman"/>
          <w:color w:val="00b050"/>
          <w:sz w:val="24"/>
          <w:szCs w:val="24"/>
        </w:rPr>
      </w:pPr>
    </w:p>
    <w:p w14:paraId="0000006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Результаты обучения по дисциплине, соотнесенные с планируемыми</w:t>
      </w:r>
    </w:p>
    <w:p w14:paraId="0000006C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результатами освоения образовательной программы</w:t>
      </w:r>
    </w:p>
    <w:tbl>
      <w:tblPr>
        <w:tblStyle w:val="TableGrid"/>
        <w:tblW w:w="9356" w:type="dxa"/>
        <w:tblInd w:w="108" w:type="dxa"/>
        <w:tblLayout w:type="fixed"/>
        <w:tblLook w:val="04A0"/>
      </w:tblPr>
      <w:tblGrid>
        <w:gridCol w:w="9356"/>
      </w:tblGrid>
      <w:tr>
        <w:trPr/>
        <w:tc>
          <w:tcPr>
            <w:cnfStyle w:val="1010000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Результаты обучения по дисциплине</w:t>
            </w:r>
          </w:p>
        </w:tc>
      </w:tr>
      <w:tr>
        <w:trPr/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E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 знает:</w:t>
            </w: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Сущность общепедагогических методов и форм воспитания, виды учебной деятельности в вузе, цели и задачи учебной дисциплины по которой проводились занятия в ходе практики, методы применяемые при проведении контроля учебной деятельности.</w:t>
            </w:r>
          </w:p>
        </w:tc>
      </w:tr>
      <w:tr>
        <w:trPr/>
        <w:tc>
          <w:tcPr>
            <w:cnfStyle w:val="00100001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6F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 умеет: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Создавать и развивать отношения со студентами, способствующие успешной педагогической деятельности, планировать, проектировать педагогическую деятельность, доходчиво доносить до студентов содержание изучаемых тем дисциплины, организовывать работу группы при проведении различных видов педагогической деятельности, контролировать и оценивать ее результаты.</w:t>
            </w:r>
          </w:p>
        </w:tc>
      </w:tr>
      <w:tr>
        <w:trPr/>
        <w:tc>
          <w:tcPr>
            <w:cnfStyle w:val="001000100000"/>
            <w:tcW w:w="9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070">
            <w:pPr>
              <w:jc w:val="both"/>
              <w:rPr>
                <w:rFonts w:ascii="Times New Roman" w:cs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iCs/>
                <w:sz w:val="24"/>
                <w:szCs w:val="24"/>
              </w:rPr>
              <w:t>Обучающийся владеет: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eastAsia="Times New Roman" w:hAnsi="Times New Roman"/>
                <w:iCs/>
                <w:sz w:val="24"/>
                <w:szCs w:val="24"/>
              </w:rPr>
              <w:t>Навыками способствующими успешной педагогической деятельности, планировать, проектировать педагогическую деятельность, доходчиво доносить до студентов содержание изучаемых тем дисциплины, организовывать работу группы при проведении различных видов педагогической деятельности, контролировать и оценивать ее результаты.</w:t>
            </w:r>
          </w:p>
        </w:tc>
      </w:tr>
    </w:tbl>
    <w:p w14:paraId="000000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14:paraId="0000007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Промежуточная аттестация (зачет</w:t>
      </w:r>
      <w:r>
        <w:rPr>
          <w:rFonts w:ascii="Times New Roman" w:eastAsia="Times New Roman" w:hAnsi="Times New Roman"/>
          <w:sz w:val="24"/>
          <w:szCs w:val="24"/>
        </w:rPr>
        <w:t xml:space="preserve"> с оценкой</w:t>
      </w:r>
      <w:r>
        <w:rPr>
          <w:rFonts w:ascii="Times New Roman" w:eastAsia="Times New Roman" w:hAnsi="Times New Roman"/>
          <w:sz w:val="24"/>
          <w:szCs w:val="24"/>
        </w:rPr>
        <w:t xml:space="preserve">) проводится в форме </w:t>
      </w:r>
      <w:r>
        <w:rPr>
          <w:rFonts w:ascii="Times New Roman" w:eastAsia="Times New Roman" w:hAnsi="Times New Roman"/>
          <w:sz w:val="24"/>
          <w:szCs w:val="24"/>
        </w:rPr>
        <w:t>собеседования.</w:t>
      </w:r>
    </w:p>
    <w:p w14:paraId="00000073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</w:pPr>
    </w:p>
    <w:p w14:paraId="00000074">
      <w:pPr>
        <w:spacing w:after="0" w:line="240" w:lineRule="auto"/>
        <w:jc w:val="center"/>
        <w:rPr>
          <w:rFonts w:ascii="Times New Roman" w:cs="Times New Roman" w:eastAsia="Times New Roman" w:hAnsi="Times New Roman"/>
          <w:bCs/>
          <w:iCs/>
          <w:sz w:val="24"/>
          <w:szCs w:val="24"/>
          <w:highlight w:val="yellow"/>
        </w:rPr>
      </w:pP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2.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ab/>
        <w:t xml:space="preserve">Типовые контрольные задания или иные материалы для оценки знаний, умений, навыков и (или) опыта деятельности </w:t>
      </w:r>
      <w:r>
        <w:rPr>
          <w:rFonts w:ascii="Times New Roman" w:cs="Times New Roman" w:eastAsia="Times New Roman" w:hAnsi="Times New Roman"/>
          <w:b/>
          <w:bCs/>
          <w:iCs/>
          <w:sz w:val="24"/>
          <w:szCs w:val="24"/>
        </w:rPr>
        <w:t>при проведении промежуточной аттестации</w:t>
      </w:r>
    </w:p>
    <w:p w14:paraId="00000075">
      <w:pPr>
        <w:widowControl w:val="off"/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8"/>
          <w:szCs w:val="28"/>
          <w:lang w:eastAsia="en-US"/>
        </w:rPr>
      </w:pPr>
    </w:p>
    <w:p w14:paraId="00000076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 xml:space="preserve">2.1. Типовые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 xml:space="preserve">задания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>для зачета</w:t>
      </w:r>
    </w:p>
    <w:p w14:paraId="00000077">
      <w:pPr>
        <w:widowControl w:val="off"/>
        <w:spacing w:after="0" w:line="240" w:lineRule="auto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</w:pPr>
    </w:p>
    <w:p w14:paraId="00000078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2.1.1.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Посещение и анализ занятий ведущих преподавателей университета по различным учебным дисциплинам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.</w:t>
      </w:r>
    </w:p>
    <w:p w14:paraId="0000007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2.1.2.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Подготовка информации, необходимой для разработки методического обеспечения учебного курса.</w:t>
      </w:r>
    </w:p>
    <w:p w14:paraId="0000007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2.1.3.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Подготовка сценария занятия и материалов, необходимых для реализации учебных занятий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с использованием</w:t>
      </w:r>
      <w:r>
        <w:rPr>
          <w:rStyle w:val="Fontstyle01"/>
        </w:rPr>
        <w:t xml:space="preserve"> </w:t>
      </w:r>
      <w:r>
        <w:rPr>
          <w:rStyle w:val="Fontstyle01"/>
          <w:rFonts w:ascii="Times New Roman" w:cs="Times New Roman" w:hAnsi="Times New Roman"/>
        </w:rPr>
        <w:t>профессионально-ориентированных образовательных технологий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. </w:t>
      </w:r>
    </w:p>
    <w:p w14:paraId="0000007B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2.1.4.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Проведение занятий</w:t>
      </w:r>
      <w:r>
        <w:rPr>
          <w:rStyle w:val="Fontstyle01"/>
        </w:rPr>
        <w:t xml:space="preserve"> 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(фрагмента)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лекционного, семинарского, практического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и самоанализ занятий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.</w:t>
      </w:r>
    </w:p>
    <w:p w14:paraId="0000007C">
      <w:pPr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2.1.5.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Профессионально-ориентированная работа (проведение организационно-воспитательного мероприятия со студентами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, проведение семинарского или практического занятия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>)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  <w:t xml:space="preserve"> и </w:t>
      </w:r>
      <w:r>
        <w:rPr>
          <w:rFonts w:ascii="Times New Roman" w:cs="Times New Roman" w:eastAsia="Times New Roman" w:hAnsi="Times New Roman"/>
          <w:color w:val="000000"/>
          <w:sz w:val="24"/>
        </w:rPr>
        <w:t>участие в осуществлении промежуточной аттестации студентов</w:t>
      </w:r>
      <w:r>
        <w:rPr>
          <w:rFonts w:ascii="Times New Roman" w:cs="Times New Roman" w:eastAsia="Times New Roman" w:hAnsi="Times New Roman"/>
          <w:color w:val="000000"/>
          <w:sz w:val="24"/>
        </w:rPr>
        <w:t>.</w:t>
      </w:r>
      <w:r>
        <w:rPr>
          <w:rFonts w:ascii="Times New Roman" w:cs="Times New Roman" w:eastAsia="Times New Roman" w:hAnsi="Times New Roman"/>
          <w:color w:val="000000"/>
          <w:sz w:val="24"/>
        </w:rPr>
        <w:t xml:space="preserve"> </w:t>
      </w:r>
    </w:p>
    <w:p w14:paraId="0000007D">
      <w:pPr>
        <w:spacing w:after="0" w:line="240" w:lineRule="auto"/>
        <w:jc w:val="center"/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 xml:space="preserve">2.2. 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>Типовые вопросы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 xml:space="preserve"> для зачета</w:t>
      </w:r>
      <w:r>
        <w:rPr>
          <w:rFonts w:ascii="Times New Roman" w:cs="Times New Roman" w:eastAsia="Times New Roman" w:hAnsi="Times New Roman"/>
          <w:b/>
          <w:color w:val="000000"/>
          <w:sz w:val="24"/>
          <w:szCs w:val="24"/>
          <w:lang w:eastAsia="en-US"/>
        </w:rPr>
        <w:t xml:space="preserve"> с оценкой</w:t>
      </w:r>
    </w:p>
    <w:p w14:paraId="0000007E">
      <w:pPr>
        <w:spacing w:after="0" w:line="288" w:lineRule="auto"/>
        <w:jc w:val="both"/>
        <w:rPr>
          <w:rStyle w:val="Fontstyle21"/>
          <w:rFonts w:ascii="Times New Roman" w:cs="Times New Roman" w:hAnsi="Times New Roman"/>
        </w:rPr>
      </w:pPr>
      <w:r>
        <w:rPr>
          <w:rStyle w:val="Fontstyle01"/>
          <w:rFonts w:ascii="Times New Roman" w:cs="Times New Roman" w:hAnsi="Times New Roman"/>
        </w:rPr>
        <w:t>При проведении промежуточной аттестации по педагогической практике оценивается качество выполнения заданий или видов работ, предусмотренных практикой:</w:t>
      </w:r>
    </w:p>
    <w:p w14:paraId="0000007F">
      <w:pPr>
        <w:spacing w:after="0" w:line="288" w:lineRule="auto"/>
        <w:rPr>
          <w:rStyle w:val="Fontstyle21"/>
          <w:rFonts w:ascii="Times New Roman" w:cs="Times New Roman" w:hAnsi="Times New Roman"/>
        </w:rPr>
      </w:pPr>
      <w:r>
        <w:rPr>
          <w:rStyle w:val="Fontstyle21"/>
          <w:rFonts w:ascii="Times New Roman" w:cs="Times New Roman" w:hAnsi="Times New Roman"/>
        </w:rPr>
        <w:sym w:font="Symbol" w:char="f02d"/>
      </w:r>
      <w:r>
        <w:rPr>
          <w:rStyle w:val="Fontstyle21"/>
          <w:rFonts w:ascii="Times New Roman" w:cs="Times New Roman" w:hAnsi="Times New Roman"/>
        </w:rPr>
        <w:t xml:space="preserve"> </w:t>
      </w:r>
      <w:r>
        <w:rPr>
          <w:rStyle w:val="Fontstyle01"/>
          <w:rFonts w:ascii="Times New Roman" w:cs="Times New Roman" w:hAnsi="Times New Roman"/>
        </w:rPr>
        <w:t>проведение учебных занятий (лекционных, практических, семинарских);</w:t>
      </w:r>
    </w:p>
    <w:p w14:paraId="00000080">
      <w:pPr>
        <w:spacing w:after="0" w:line="288" w:lineRule="auto"/>
        <w:rPr>
          <w:rStyle w:val="Fontstyle21"/>
          <w:rFonts w:ascii="Times New Roman" w:cs="Times New Roman" w:hAnsi="Times New Roman"/>
        </w:rPr>
      </w:pPr>
      <w:r>
        <w:rPr>
          <w:rStyle w:val="Fontstyle21"/>
          <w:rFonts w:ascii="Times New Roman" w:cs="Times New Roman" w:hAnsi="Times New Roman"/>
        </w:rPr>
        <w:sym w:font="Symbol" w:char="f02d"/>
      </w:r>
      <w:r>
        <w:rPr>
          <w:rStyle w:val="Fontstyle21"/>
          <w:rFonts w:ascii="Times New Roman" w:cs="Times New Roman" w:hAnsi="Times New Roman"/>
        </w:rPr>
        <w:t xml:space="preserve"> </w:t>
      </w:r>
      <w:r>
        <w:rPr>
          <w:rStyle w:val="Fontstyle01"/>
          <w:rFonts w:ascii="Times New Roman" w:cs="Times New Roman" w:hAnsi="Times New Roman"/>
        </w:rPr>
        <w:t>самоанализ проведенных занятий;</w:t>
      </w:r>
      <w:r>
        <w:rPr>
          <w:rStyle w:val="Fontstyle21"/>
          <w:rFonts w:ascii="Times New Roman" w:cs="Times New Roman" w:hAnsi="Times New Roman"/>
        </w:rPr>
        <w:t xml:space="preserve"> </w:t>
      </w:r>
    </w:p>
    <w:p w14:paraId="00000081">
      <w:pPr>
        <w:spacing w:after="0" w:line="288" w:lineRule="auto"/>
        <w:rPr>
          <w:rStyle w:val="Fontstyle21"/>
          <w:rFonts w:ascii="Times New Roman" w:cs="Times New Roman" w:hAnsi="Times New Roman"/>
        </w:rPr>
      </w:pPr>
      <w:r>
        <w:rPr>
          <w:rStyle w:val="Fontstyle21"/>
          <w:rFonts w:ascii="Times New Roman" w:cs="Times New Roman" w:hAnsi="Times New Roman"/>
        </w:rPr>
        <w:sym w:font="Symbol" w:char="f02d"/>
      </w:r>
      <w:r>
        <w:rPr>
          <w:rStyle w:val="Fontstyle21"/>
          <w:rFonts w:ascii="Times New Roman" w:cs="Times New Roman" w:hAnsi="Times New Roman"/>
        </w:rPr>
        <w:t xml:space="preserve"> </w:t>
      </w:r>
      <w:r>
        <w:rPr>
          <w:rStyle w:val="Fontstyle01"/>
          <w:rFonts w:ascii="Times New Roman" w:cs="Times New Roman" w:hAnsi="Times New Roman"/>
        </w:rPr>
        <w:t>разработанные методические и дидактические материал</w:t>
      </w:r>
      <w:r>
        <w:rPr>
          <w:rStyle w:val="Fontstyle01"/>
          <w:rFonts w:ascii="Times New Roman" w:cs="Times New Roman" w:hAnsi="Times New Roman"/>
        </w:rPr>
        <w:t>ы</w:t>
      </w:r>
      <w:r>
        <w:rPr>
          <w:rStyle w:val="Fontstyle01"/>
          <w:rFonts w:ascii="Times New Roman" w:cs="Times New Roman" w:hAnsi="Times New Roman"/>
        </w:rPr>
        <w:t>;</w:t>
      </w:r>
      <w:r>
        <w:rPr>
          <w:rStyle w:val="Fontstyle21"/>
          <w:rFonts w:ascii="Times New Roman" w:cs="Times New Roman" w:hAnsi="Times New Roman"/>
        </w:rPr>
        <w:t xml:space="preserve"> </w:t>
      </w:r>
    </w:p>
    <w:p w14:paraId="00000082">
      <w:pPr>
        <w:spacing w:after="0" w:line="288" w:lineRule="auto"/>
        <w:rPr>
          <w:rStyle w:val="Fontstyle21"/>
          <w:rFonts w:ascii="Times New Roman" w:cs="Times New Roman" w:hAnsi="Times New Roman"/>
        </w:rPr>
      </w:pPr>
      <w:r>
        <w:rPr>
          <w:rStyle w:val="Fontstyle21"/>
          <w:rFonts w:ascii="Times New Roman" w:cs="Times New Roman" w:hAnsi="Times New Roman"/>
        </w:rPr>
        <w:sym w:font="Symbol" w:char="f02d"/>
      </w:r>
      <w:r>
        <w:rPr>
          <w:rStyle w:val="Fontstyle21"/>
          <w:rFonts w:ascii="Times New Roman" w:cs="Times New Roman" w:hAnsi="Times New Roman"/>
        </w:rPr>
        <w:t xml:space="preserve"> </w:t>
      </w:r>
      <w:r>
        <w:rPr>
          <w:rStyle w:val="Fontstyle01"/>
          <w:rFonts w:ascii="Times New Roman" w:cs="Times New Roman" w:hAnsi="Times New Roman"/>
        </w:rPr>
        <w:t>качество представленной отчетной документации</w:t>
      </w:r>
      <w:r>
        <w:rPr>
          <w:rStyle w:val="Fontstyle21"/>
          <w:rFonts w:ascii="Times New Roman" w:cs="Times New Roman" w:hAnsi="Times New Roman"/>
        </w:rPr>
        <w:t>;</w:t>
      </w:r>
    </w:p>
    <w:p w14:paraId="00000083">
      <w:pPr>
        <w:spacing w:after="0" w:line="288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  <w:r>
        <w:rPr>
          <w:rStyle w:val="Fontstyle21"/>
          <w:rFonts w:ascii="Times New Roman" w:cs="Times New Roman" w:hAnsi="Times New Roman"/>
        </w:rPr>
        <w:sym w:font="Symbol" w:char="f02d"/>
      </w:r>
      <w:r>
        <w:rPr>
          <w:rStyle w:val="Fontstyle21"/>
          <w:rFonts w:ascii="Times New Roman" w:cs="Times New Roman" w:hAnsi="Times New Roman"/>
        </w:rPr>
        <w:t xml:space="preserve"> </w:t>
      </w:r>
      <w:r>
        <w:rPr>
          <w:rStyle w:val="Fontstyle01"/>
          <w:rFonts w:ascii="Times New Roman" w:cs="Times New Roman" w:hAnsi="Times New Roman"/>
        </w:rPr>
        <w:t>качество защиты отчета о прохождении практики: глубина включенности в освещение итогов практики, оперирование информацией, профессиональный интерес, качество презентации материала.</w:t>
      </w:r>
    </w:p>
    <w:p w14:paraId="00000084">
      <w:pPr>
        <w:spacing w:after="0" w:line="288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  <w:lang w:eastAsia="en-US"/>
        </w:rPr>
      </w:pPr>
    </w:p>
    <w:p w14:paraId="00000085">
      <w:pPr>
        <w:spacing w:after="0" w:line="240" w:lineRule="auto"/>
        <w:jc w:val="center"/>
        <w:rPr>
          <w:rFonts w:ascii="Times New Roman" w:cs="Times New Roman" w:hAnsi="Times New Roman"/>
          <w:b/>
          <w:color w:val="000000"/>
          <w:sz w:val="24"/>
          <w:szCs w:val="24"/>
        </w:rPr>
      </w:pPr>
      <w:r>
        <w:rPr>
          <w:rFonts w:ascii="Times New Roman" w:cs="Times New Roman" w:hAnsi="Times New Roman"/>
          <w:b/>
          <w:color w:val="000000"/>
          <w:sz w:val="24"/>
          <w:szCs w:val="24"/>
        </w:rPr>
        <w:t>3. Методические материалы, определяющие процедуру и критерии оценивания при проведении промежуточной аттестации</w:t>
      </w:r>
    </w:p>
    <w:p w14:paraId="00000086">
      <w:pPr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087">
      <w:pPr>
        <w:widowControl w:val="off"/>
        <w:spacing w:after="0"/>
        <w:ind w:right="130" w:firstLine="54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Критерии формирования оценок по зачету с оценкой</w:t>
      </w:r>
    </w:p>
    <w:p w14:paraId="00000088">
      <w:pPr>
        <w:widowControl w:val="off"/>
        <w:spacing w:after="0"/>
        <w:ind w:right="130" w:firstLine="5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cs="Times New Roman" w:hAnsi="Times New Roman"/>
          <w:b/>
          <w:sz w:val="24"/>
          <w:szCs w:val="24"/>
        </w:rPr>
        <w:t>Отлично/з</w:t>
      </w:r>
      <w:r>
        <w:rPr>
          <w:rFonts w:ascii="Times New Roman" w:hAnsi="Times New Roman"/>
          <w:b/>
          <w:sz w:val="24"/>
          <w:szCs w:val="24"/>
        </w:rPr>
        <w:t xml:space="preserve">ачтено» – </w:t>
      </w:r>
      <w:r>
        <w:rPr>
          <w:rFonts w:ascii="Times New Roman" w:hAnsi="Times New Roman"/>
          <w:sz w:val="24"/>
          <w:szCs w:val="24"/>
        </w:rPr>
        <w:t xml:space="preserve">обучающийся приобрел необходимые умения и навыки, продемонстрировал навык практического применения полученных знаний, не допустил логических и фактических ошибок </w:t>
      </w:r>
    </w:p>
    <w:p w14:paraId="00000089">
      <w:pPr>
        <w:widowControl w:val="off"/>
        <w:spacing w:after="0"/>
        <w:ind w:right="130" w:firstLine="54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«</w:t>
      </w:r>
      <w:r>
        <w:rPr>
          <w:rFonts w:ascii="Times New Roman" w:cs="Times New Roman" w:hAnsi="Times New Roman"/>
          <w:b/>
          <w:sz w:val="24"/>
          <w:szCs w:val="24"/>
        </w:rPr>
        <w:t>Хорошо/зачтено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» 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 xml:space="preserve">– 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>обучающийся</w:t>
      </w:r>
      <w:r>
        <w:rPr>
          <w:rFonts w:ascii="Times New Roman" w:hAnsi="Times New Roman"/>
          <w:sz w:val="24"/>
          <w:szCs w:val="24"/>
        </w:rPr>
        <w:t xml:space="preserve"> приобрел необходимые умения и навыки, продемонстрировал навык практического применения полученных знаний; допустил 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 xml:space="preserve">незначительные ошибки и неточности. </w:t>
      </w:r>
    </w:p>
    <w:p w14:paraId="0000008A">
      <w:pPr>
        <w:widowControl w:val="off"/>
        <w:spacing w:after="0"/>
        <w:ind w:right="130" w:firstLine="548"/>
        <w:jc w:val="both"/>
        <w:rPr>
          <w:rFonts w:ascii="Times New Roman" w:cs="Times New Roman" w:eastAsia="Times New Roman" w:hAnsi="Times New Roman"/>
          <w:bCs/>
          <w:sz w:val="24"/>
          <w:szCs w:val="24"/>
        </w:rPr>
      </w:pPr>
      <w:r>
        <w:rPr>
          <w:rFonts w:ascii="Times New Roman" w:cs="Times New Roman" w:eastAsia="Times New Roman" w:hAnsi="Times New Roman"/>
          <w:b/>
          <w:sz w:val="24"/>
          <w:szCs w:val="24"/>
        </w:rPr>
        <w:t>«Удовлетворительно/</w:t>
      </w:r>
      <w:r>
        <w:rPr>
          <w:rFonts w:ascii="Times New Roman" w:cs="Times New Roman" w:hAnsi="Times New Roman"/>
          <w:b/>
          <w:sz w:val="24"/>
          <w:szCs w:val="24"/>
        </w:rPr>
        <w:t>зачтено</w:t>
      </w:r>
      <w:r>
        <w:rPr>
          <w:rFonts w:ascii="Times New Roman" w:cs="Times New Roman" w:eastAsia="Times New Roman" w:hAnsi="Times New Roman"/>
          <w:b/>
          <w:sz w:val="24"/>
          <w:szCs w:val="24"/>
        </w:rPr>
        <w:t xml:space="preserve">» 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 xml:space="preserve">– 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>обучающийся</w:t>
      </w:r>
      <w:r>
        <w:rPr>
          <w:rFonts w:ascii="Times New Roman" w:cs="Times New Roman" w:eastAsia="Times New Roman" w:hAnsi="Times New Roman"/>
          <w:bCs/>
          <w:sz w:val="24"/>
          <w:szCs w:val="24"/>
        </w:rPr>
        <w:t xml:space="preserve"> допустил существенные ошибки</w:t>
      </w:r>
      <w:r>
        <w:rPr>
          <w:rFonts w:ascii="Times New Roman" w:hAnsi="Times New Roman"/>
          <w:sz w:val="24"/>
          <w:szCs w:val="24"/>
        </w:rPr>
        <w:t>.</w:t>
      </w:r>
    </w:p>
    <w:p w14:paraId="0000008B">
      <w:pPr>
        <w:spacing w:after="0" w:line="240" w:lineRule="auto"/>
        <w:ind w:left="127" w:right="63" w:firstLine="4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«Неудовлетворительно/не зачтено» </w:t>
      </w:r>
      <w:r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обучающийся</w:t>
      </w:r>
      <w:r>
        <w:rPr>
          <w:rFonts w:ascii="Times New Roman" w:hAnsi="Times New Roman"/>
          <w:sz w:val="24"/>
          <w:szCs w:val="24"/>
        </w:rPr>
        <w:t xml:space="preserve"> демонстрирует фрагментарные знания изучаемого курса; отсутствуют необходимые умения и навыки, допущены грубые ошибки.</w:t>
      </w:r>
    </w:p>
    <w:p w14:paraId="0000008C">
      <w:pPr>
        <w:spacing w:after="0" w:line="240" w:lineRule="auto"/>
        <w:ind w:right="63"/>
        <w:rPr>
          <w:rFonts w:ascii="Times New Roman" w:cs="Times New Roman" w:hAnsi="Times New Roman"/>
          <w:sz w:val="24"/>
          <w:szCs w:val="24"/>
        </w:rPr>
      </w:pPr>
    </w:p>
    <w:p w14:paraId="0000008D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 xml:space="preserve">Виды ошибок: </w:t>
      </w:r>
    </w:p>
    <w:p w14:paraId="0000008E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грубые ошибки: незнание основных понятий, правил, норм; незнание приемов решения задач; ошибки, показывающие неправильное понимание условия предложенного задания.</w:t>
      </w:r>
    </w:p>
    <w:p w14:paraId="0000008F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негрубые ошибки: неточности формулировок, определений; нерациональный выбор хода решения.</w:t>
      </w:r>
    </w:p>
    <w:p w14:paraId="00000090">
      <w:pPr>
        <w:widowControl w:val="off"/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</w:pPr>
      <w:r>
        <w:rPr>
          <w:rFonts w:ascii="Times New Roman" w:cs="Times New Roman" w:eastAsia="Times New Roman" w:hAnsi="Times New Roman"/>
          <w:i/>
          <w:color w:val="000000"/>
          <w:sz w:val="24"/>
          <w:szCs w:val="24"/>
        </w:rPr>
        <w:t>- недочеты: нерациональные приемы выполнения задания; отдельные погрешности в формулировке выводов; небрежное выполнение задания.</w:t>
      </w:r>
    </w:p>
    <w:p w14:paraId="00000091">
      <w:pPr>
        <w:spacing w:after="0" w:line="240" w:lineRule="auto"/>
        <w:jc w:val="center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92">
      <w:pPr>
        <w:spacing w:after="0" w:line="240" w:lineRule="auto"/>
        <w:jc w:val="center"/>
        <w:rPr>
          <w:rFonts w:ascii="Times New Roman" w:cs="Times New Roman" w:hAnsi="Times New Roman"/>
          <w:color w:val="000000"/>
          <w:sz w:val="24"/>
          <w:szCs w:val="24"/>
        </w:rPr>
      </w:pPr>
    </w:p>
    <w:p w14:paraId="00000093">
      <w:pPr>
        <w:spacing w:after="0" w:line="240" w:lineRule="auto"/>
        <w:ind w:left="127" w:right="63" w:firstLine="17"/>
        <w:jc w:val="center"/>
        <w:rPr>
          <w:rFonts w:ascii="Times New Roman" w:cs="Times New Roman" w:hAnsi="Times New Roman"/>
          <w:sz w:val="24"/>
          <w:szCs w:val="24"/>
        </w:rPr>
      </w:pPr>
    </w:p>
    <w:p w14:paraId="00000094">
      <w:pPr>
        <w:tabs>
          <w:tab w:val="left" w:pos="2295"/>
        </w:tabs>
        <w:spacing w:after="0"/>
        <w:jc w:val="center"/>
        <w:rPr>
          <w:rFonts w:ascii="Times New Roman" w:cs="Times New Roman" w:hAnsi="Times New Roman"/>
          <w:b/>
          <w:sz w:val="28"/>
          <w:szCs w:val="28"/>
        </w:rPr>
      </w:pPr>
    </w:p>
    <w:sectPr>
      <w:pgSz w:w="11906" w:h="16838"/>
      <w:pgMar w:top="709" w:right="850" w:bottom="1134" w:left="170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 w:val="on"/>
    <w:pitch w:val="default"/>
    <w:sig w:usb0="00000000" w:usb1="00000000" w:usb2="00000000" w:usb3="00000000" w:csb0="00000000" w:csb1="00000000"/>
  </w:font>
  <w:font w:name="SymbolMT">
    <w:altName w:val="Times New Roman"/>
    <w:panose1 w:val="00000000000000000000"/>
    <w:charset w:val="00"/>
    <w:family w:val="roman"/>
    <w:notTrueType w:val="o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00000000" w:csb1="00000000"/>
  </w:font>
  <w:font w:name="Cambria">
    <w:panose1 w:val="02040503050406030204"/>
    <w:charset w:val="cc"/>
    <w:family w:val="roman"/>
    <w:pitch w:val="variable"/>
    <w:sig w:usb0="00000000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00000000" w:usb2="00000008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2">
    <w:multiLevelType w:val="hybridMultilevel"/>
    <w:lvl w:ilvl="0" w:tentative="0">
      <w:start w:val="1"/>
      <w:numFmt w:val="decimal"/>
      <w:lvlText w:val="%1."/>
      <w:lvlJc w:val="left"/>
      <w:pPr>
        <w:ind w:left="1429" w:hanging="360"/>
      </w:p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4">
    <w:multiLevelType w:val="hybridMultilevel"/>
    <w:lvl w:ilvl="0" w:tentative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6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 w:tentative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multiLevelType w:val="hybridMultilevel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multiLevelType w:val="hybridMultilevel"/>
    <w:lvl w:ilvl="0" w:tentative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48" w:hanging="360"/>
      </w:pPr>
    </w:lvl>
    <w:lvl w:ilvl="2" w:tentative="1">
      <w:start w:val="1"/>
      <w:numFmt w:val="lowerRoman"/>
      <w:lvlText w:val="%3."/>
      <w:lvlJc w:val="right"/>
      <w:pPr>
        <w:ind w:left="2368" w:hanging="180"/>
      </w:pPr>
    </w:lvl>
    <w:lvl w:ilvl="3" w:tentative="1">
      <w:start w:val="1"/>
      <w:numFmt w:val="decimal"/>
      <w:lvlText w:val="%4."/>
      <w:lvlJc w:val="left"/>
      <w:pPr>
        <w:ind w:left="3088" w:hanging="360"/>
      </w:pPr>
    </w:lvl>
    <w:lvl w:ilvl="4" w:tentative="1">
      <w:start w:val="1"/>
      <w:numFmt w:val="lowerLetter"/>
      <w:lvlText w:val="%5."/>
      <w:lvlJc w:val="left"/>
      <w:pPr>
        <w:ind w:left="3808" w:hanging="360"/>
      </w:pPr>
    </w:lvl>
    <w:lvl w:ilvl="5" w:tentative="1">
      <w:start w:val="1"/>
      <w:numFmt w:val="lowerRoman"/>
      <w:lvlText w:val="%6."/>
      <w:lvlJc w:val="right"/>
      <w:pPr>
        <w:ind w:left="4528" w:hanging="180"/>
      </w:pPr>
    </w:lvl>
    <w:lvl w:ilvl="6" w:tentative="1">
      <w:start w:val="1"/>
      <w:numFmt w:val="decimal"/>
      <w:lvlText w:val="%7."/>
      <w:lvlJc w:val="left"/>
      <w:pPr>
        <w:ind w:left="5248" w:hanging="360"/>
      </w:pPr>
    </w:lvl>
    <w:lvl w:ilvl="7" w:tentative="1">
      <w:start w:val="1"/>
      <w:numFmt w:val="lowerLetter"/>
      <w:lvlText w:val="%8."/>
      <w:lvlJc w:val="left"/>
      <w:pPr>
        <w:ind w:left="5968" w:hanging="360"/>
      </w:pPr>
    </w:lvl>
    <w:lvl w:ilvl="8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>
    <w:multiLevelType w:val="hybridMultilevel"/>
    <w:lvl w:ilvl="0" w:tentative="0">
      <w:start w:val="1"/>
      <w:numFmt w:val="decimal"/>
      <w:suff w:val="space"/>
      <w:lvlText w:val="%1."/>
      <w:lvlJc w:val="left"/>
      <w:pPr>
        <w:ind w:left="375" w:hanging="360"/>
      </w:pPr>
      <w:rPr>
        <w:rFonts w:cs="Times New Roman"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10"/>
  </w:num>
  <w:num w:numId="5">
    <w:abstractNumId w:val="5"/>
  </w:num>
  <w:num w:numId="6">
    <w:abstractNumId w:val="1"/>
  </w:num>
  <w:num w:numId="7">
    <w:abstractNumId w:val="6"/>
  </w:num>
  <w:num w:numId="8">
    <w:abstractNumId w:val="7"/>
  </w:num>
  <w:num w:numId="9">
    <w:abstractNumId w:val="0"/>
  </w:num>
  <w:num w:numId="10">
    <w:abstractNumId w:val="9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93FE1"/>
    <w:rsid w:val="00011F37"/>
    <w:rsid w:val="00016587"/>
    <w:rsid w:val="0005016B"/>
    <w:rsid w:val="00051141"/>
    <w:rsid w:val="00054C7D"/>
    <w:rsid w:val="00057D7B"/>
    <w:rsid w:val="00067369"/>
    <w:rsid w:val="000A0BC7"/>
    <w:rsid w:val="000D39BB"/>
    <w:rsid w:val="001402C3"/>
    <w:rsid w:val="0017260F"/>
    <w:rsid w:val="00193C87"/>
    <w:rsid w:val="00193FE1"/>
    <w:rsid w:val="001F0518"/>
    <w:rsid w:val="00236A66"/>
    <w:rsid w:val="00282BC5"/>
    <w:rsid w:val="002C1A6E"/>
    <w:rsid w:val="002D7486"/>
    <w:rsid w:val="002F2433"/>
    <w:rsid w:val="003059B8"/>
    <w:rsid w:val="00326DBF"/>
    <w:rsid w:val="00347FF5"/>
    <w:rsid w:val="0035716F"/>
    <w:rsid w:val="00380103"/>
    <w:rsid w:val="003C69A9"/>
    <w:rsid w:val="003E41B8"/>
    <w:rsid w:val="0040486E"/>
    <w:rsid w:val="00426151"/>
    <w:rsid w:val="004714A3"/>
    <w:rsid w:val="00497550"/>
    <w:rsid w:val="004C593D"/>
    <w:rsid w:val="004E584F"/>
    <w:rsid w:val="00534A88"/>
    <w:rsid w:val="00557E38"/>
    <w:rsid w:val="0057321A"/>
    <w:rsid w:val="00587656"/>
    <w:rsid w:val="00591B93"/>
    <w:rsid w:val="005971F8"/>
    <w:rsid w:val="005B4E09"/>
    <w:rsid w:val="005B52A5"/>
    <w:rsid w:val="005C172E"/>
    <w:rsid w:val="005E0E13"/>
    <w:rsid w:val="005E2455"/>
    <w:rsid w:val="005E5340"/>
    <w:rsid w:val="00611C39"/>
    <w:rsid w:val="00621019"/>
    <w:rsid w:val="00621AAA"/>
    <w:rsid w:val="006832F0"/>
    <w:rsid w:val="006B1DDC"/>
    <w:rsid w:val="0070021F"/>
    <w:rsid w:val="007021ED"/>
    <w:rsid w:val="00715FC1"/>
    <w:rsid w:val="00721320"/>
    <w:rsid w:val="00734852"/>
    <w:rsid w:val="00757BD2"/>
    <w:rsid w:val="007918D1"/>
    <w:rsid w:val="007A25F9"/>
    <w:rsid w:val="007B4CC5"/>
    <w:rsid w:val="007D256F"/>
    <w:rsid w:val="007D76D4"/>
    <w:rsid w:val="007E6550"/>
    <w:rsid w:val="007E7EC9"/>
    <w:rsid w:val="00830AE9"/>
    <w:rsid w:val="00832AD0"/>
    <w:rsid w:val="008457BE"/>
    <w:rsid w:val="00886B3A"/>
    <w:rsid w:val="008A07C2"/>
    <w:rsid w:val="008A3A1C"/>
    <w:rsid w:val="00913066"/>
    <w:rsid w:val="00924634"/>
    <w:rsid w:val="00931F35"/>
    <w:rsid w:val="0094635B"/>
    <w:rsid w:val="009575CC"/>
    <w:rsid w:val="009E5CB8"/>
    <w:rsid w:val="009F1F32"/>
    <w:rsid w:val="00A332D0"/>
    <w:rsid w:val="00A72B6A"/>
    <w:rsid w:val="00AA028D"/>
    <w:rsid w:val="00AA56B7"/>
    <w:rsid w:val="00AD0837"/>
    <w:rsid w:val="00AD2437"/>
    <w:rsid w:val="00AE2BED"/>
    <w:rsid w:val="00B112A1"/>
    <w:rsid w:val="00B21D33"/>
    <w:rsid w:val="00B439C6"/>
    <w:rsid w:val="00B47094"/>
    <w:rsid w:val="00B6619B"/>
    <w:rsid w:val="00B85940"/>
    <w:rsid w:val="00BF294E"/>
    <w:rsid w:val="00BF508B"/>
    <w:rsid w:val="00C4484E"/>
    <w:rsid w:val="00C774A7"/>
    <w:rsid w:val="00C83A24"/>
    <w:rsid w:val="00C976AA"/>
    <w:rsid w:val="00CB2DD8"/>
    <w:rsid w:val="00CD05E7"/>
    <w:rsid w:val="00CE4BE8"/>
    <w:rsid w:val="00CE527F"/>
    <w:rsid w:val="00D473C4"/>
    <w:rsid w:val="00D60095"/>
    <w:rsid w:val="00E14DD4"/>
    <w:rsid w:val="00E616E1"/>
    <w:rsid w:val="00E80690"/>
    <w:rsid w:val="00E87813"/>
    <w:rsid w:val="00F1197A"/>
    <w:rsid w:val="00F2315F"/>
    <w:rsid w:val="00F42FA4"/>
    <w:rsid w:val="00F711A8"/>
    <w:rsid w:val="00F8507F"/>
    <w:rsid w:val="00F87C80"/>
    <w:rsid w:val="00F9114B"/>
    <w:rsid w:val="00F95CA7"/>
    <w:rsid w:val="00FA286C"/>
    <w:rsid w:val="00FA2EB0"/>
    <w:rsid w:val="00FC33B6"/>
    <w:rsid w:val="00FC6587"/>
    <w:rsid w:val="00FD0657"/>
    <w:rsid w:val="00FD6E55"/>
    <w:rsid w:val="00FE4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2">
    <w:name w:val="Heading 2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link w:val="Heading2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link w:val="Heading3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 w:val="on"/>
    <w:rPr>
      <w:sz w:val="20"/>
      <w:szCs w:val="20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default="1" w:styleId="Normal">
    <w:name w:val="Normal"/>
    <w:uiPriority w:val="99"/>
    <w:qFormat w:val="on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BodyText">
    <w:name w:val="Body Text"/>
    <w:basedOn w:val="Normal"/>
    <w:link w:val="ОсновнойтекстЗнак"/>
    <w:uiPriority w:val="99"/>
    <w:semiHidden w:val="on"/>
    <w:unhideWhenUsed w:val="on"/>
    <w:pPr>
      <w:spacing w:after="120"/>
    </w:pPr>
  </w:style>
  <w:style w:type="character" w:customStyle="1" w:styleId="ОсновнойтекстЗнак">
    <w:name w:val="Основной текст Знак"/>
    <w:basedOn w:val="DefaultParagraphFont"/>
    <w:link w:val="BodyText"/>
    <w:uiPriority w:val="99"/>
    <w:semiHidden w:val="on"/>
    <w:rPr>
      <w:rFonts w:eastAsiaTheme="minorEastAsia"/>
      <w:lang w:eastAsia="ru-RU"/>
    </w:rPr>
  </w:style>
  <w:style w:type="paragraph" w:styleId="Title">
    <w:name w:val="Title"/>
    <w:basedOn w:val="Normal"/>
    <w:link w:val="НазваниеЗнак"/>
    <w:uiPriority w:val="99"/>
    <w:qFormat w:val="on"/>
    <w:pPr>
      <w:spacing w:after="0" w:line="240" w:lineRule="auto"/>
      <w:jc w:val="center"/>
    </w:pPr>
    <w:rPr>
      <w:rFonts w:ascii="Times New Roman" w:cs="Times New Roman" w:eastAsia="Times New Roman" w:hAnsi="Times New Roman"/>
      <w:b/>
      <w:sz w:val="36"/>
      <w:szCs w:val="20"/>
    </w:rPr>
  </w:style>
  <w:style w:type="character" w:customStyle="1" w:styleId="НазваниеЗнак">
    <w:name w:val="Название Знак"/>
    <w:basedOn w:val="DefaultParagraphFont"/>
    <w:link w:val="Title"/>
    <w:uiPriority w:val="99"/>
    <w:rPr>
      <w:rFonts w:ascii="Times New Roman" w:cs="Times New Roman" w:eastAsia="Times New Roman" w:hAnsi="Times New Roman"/>
      <w:b/>
      <w:sz w:val="36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Calibri" w:cs="Calibri" w:eastAsiaTheme="minorEastAsia" w:hAnsi="Calibri"/>
      <w:color w:val="000000"/>
      <w:sz w:val="24"/>
      <w:szCs w:val="24"/>
      <w:lang w:eastAsia="ru-RU"/>
    </w:rPr>
  </w:style>
  <w:style w:type="table" w:styleId="TableGrid">
    <w:name w:val="Table Grid"/>
    <w:basedOn w:val="NormalTable"/>
    <w:uiPriority w:val="5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ТекстсноскиЗнак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ТекстсноскиЗнак">
    <w:name w:val="Текст сноски Знак"/>
    <w:basedOn w:val="DefaultParagraphFont"/>
    <w:link w:val="Footnotetext"/>
    <w:uiPriority w:val="99"/>
    <w:semiHidden w:val="on"/>
    <w:rPr>
      <w:rFonts w:eastAsiaTheme="minorEastAsia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table" w:customStyle="1" w:styleId="TableGrid1">
    <w:name w:val="TableGrid"/>
    <w:uiPriority w:val="9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DefaultParagraphFont"/>
    <w:uiPriority w:val="99"/>
    <w:rPr>
      <w:rFonts w:ascii="TimesNewRomanPSMT" w:hAnsi="TimesNewRomanPSMT" w:hint="default"/>
      <w:b w:val="off"/>
      <w:bCs w:val="off"/>
      <w:i w:val="off"/>
      <w:iCs w:val="off"/>
      <w:color w:val="000000"/>
      <w:sz w:val="24"/>
      <w:szCs w:val="24"/>
    </w:rPr>
  </w:style>
  <w:style w:type="character" w:customStyle="1" w:styleId="Fontstyle21">
    <w:name w:val="Fontstyle21"/>
    <w:basedOn w:val="DefaultParagraphFont"/>
    <w:uiPriority w:val="99"/>
    <w:rPr>
      <w:rFonts w:ascii="SymbolMT" w:hAnsi="SymbolMT" w:hint="default"/>
      <w:b w:val="off"/>
      <w:bCs w:val="off"/>
      <w:i w:val="off"/>
      <w:iCs w:val="off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8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3FE1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3FE1"/>
    <w:rPr>
      <w:rFonts w:eastAsiaTheme="minorEastAsia"/>
      <w:lang w:eastAsia="ru-RU"/>
    </w:rPr>
  </w:style>
  <w:style w:type="paragraph" w:styleId="a5">
    <w:name w:val="Title"/>
    <w:basedOn w:val="a"/>
    <w:link w:val="a6"/>
    <w:qFormat/>
    <w:rsid w:val="00193FE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193FE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Default">
    <w:name w:val="Default"/>
    <w:rsid w:val="00193FE1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ru-RU"/>
    </w:rPr>
  </w:style>
  <w:style w:type="table" w:styleId="a7">
    <w:name w:val="Table Grid"/>
    <w:basedOn w:val="a1"/>
    <w:uiPriority w:val="59"/>
    <w:rsid w:val="00193FE1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621019"/>
    <w:pPr>
      <w:ind w:left="720"/>
      <w:contextualSpacing/>
    </w:pPr>
  </w:style>
  <w:style w:type="paragraph" w:styleId="a9">
    <w:name w:val="footnote text"/>
    <w:basedOn w:val="a"/>
    <w:link w:val="aa"/>
    <w:semiHidden/>
    <w:unhideWhenUsed/>
    <w:rsid w:val="00557E3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557E38"/>
    <w:rPr>
      <w:rFonts w:eastAsiaTheme="minorEastAsia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557E38"/>
    <w:rPr>
      <w:vertAlign w:val="superscript"/>
    </w:rPr>
  </w:style>
  <w:style w:type="table" w:customStyle="1" w:styleId="TableGrid">
    <w:name w:val="TableGrid"/>
    <w:rsid w:val="00F95C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М.О.Е</dc:creator>
  <cp:lastModifiedBy>Наталья</cp:lastModifiedBy>
</cp:coreProperties>
</file>